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1997" w14:textId="77777777" w:rsidR="000C3208" w:rsidRDefault="000C3208">
      <w:pPr>
        <w:widowControl w:val="0"/>
        <w:pBdr>
          <w:top w:val="nil"/>
          <w:left w:val="nil"/>
          <w:bottom w:val="nil"/>
          <w:right w:val="nil"/>
          <w:between w:val="nil"/>
        </w:pBdr>
        <w:spacing w:after="0"/>
        <w:rPr>
          <w:rFonts w:ascii="Arial" w:eastAsia="Arial" w:hAnsi="Arial" w:cs="Arial"/>
          <w:color w:val="000000"/>
        </w:rPr>
      </w:pPr>
    </w:p>
    <w:tbl>
      <w:tblPr>
        <w:tblStyle w:val="a"/>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88"/>
      </w:tblGrid>
      <w:tr w:rsidR="000C3208" w14:paraId="3E4C2BD9" w14:textId="77777777">
        <w:trPr>
          <w:cnfStyle w:val="100000000000" w:firstRow="1" w:lastRow="0" w:firstColumn="0" w:lastColumn="0" w:oddVBand="0" w:evenVBand="0" w:oddHBand="0" w:evenHBand="0" w:firstRowFirstColumn="0" w:firstRowLastColumn="0" w:lastRowFirstColumn="0" w:lastRowLastColumn="0"/>
        </w:trPr>
        <w:tc>
          <w:tcPr>
            <w:tcW w:w="8688" w:type="dxa"/>
          </w:tcPr>
          <w:p w14:paraId="47D48056" w14:textId="77777777" w:rsidR="000C3208" w:rsidRDefault="009E6A3C">
            <w:pPr>
              <w:pBdr>
                <w:top w:val="nil"/>
                <w:left w:val="nil"/>
                <w:bottom w:val="nil"/>
                <w:right w:val="nil"/>
                <w:between w:val="nil"/>
              </w:pBdr>
              <w:spacing w:before="60" w:after="60"/>
              <w:jc w:val="both"/>
              <w:rPr>
                <w:b/>
                <w:color w:val="000080"/>
              </w:rPr>
            </w:pPr>
            <w:bookmarkStart w:id="0" w:name="_heading=h.gjdgxs" w:colFirst="0" w:colLast="0"/>
            <w:bookmarkEnd w:id="0"/>
            <w:r>
              <w:rPr>
                <w:rFonts w:ascii="Calibri" w:eastAsia="Calibri" w:hAnsi="Calibri" w:cs="Calibri"/>
                <w:b/>
                <w:color w:val="000080"/>
              </w:rPr>
              <w:t>Information Sharing Agreement</w:t>
            </w:r>
          </w:p>
        </w:tc>
      </w:tr>
      <w:tr w:rsidR="000C3208" w14:paraId="7130E082" w14:textId="77777777" w:rsidTr="000C3208">
        <w:tc>
          <w:tcPr>
            <w:tcW w:w="8688" w:type="dxa"/>
            <w:tcBorders>
              <w:top w:val="single" w:sz="6" w:space="0" w:color="000000"/>
              <w:left w:val="nil"/>
              <w:bottom w:val="single" w:sz="6" w:space="0" w:color="000000"/>
              <w:right w:val="nil"/>
            </w:tcBorders>
          </w:tcPr>
          <w:p w14:paraId="0B3AFE0D" w14:textId="77777777" w:rsidR="000C3208" w:rsidRDefault="009E6A3C">
            <w:pPr>
              <w:pBdr>
                <w:top w:val="nil"/>
                <w:left w:val="nil"/>
                <w:bottom w:val="nil"/>
                <w:right w:val="nil"/>
                <w:between w:val="nil"/>
              </w:pBdr>
              <w:spacing w:after="60" w:line="288" w:lineRule="auto"/>
              <w:jc w:val="both"/>
              <w:rPr>
                <w:i/>
                <w:color w:val="000000"/>
                <w:sz w:val="18"/>
                <w:szCs w:val="18"/>
              </w:rPr>
            </w:pPr>
            <w:r>
              <w:rPr>
                <w:i/>
                <w:color w:val="000000"/>
                <w:sz w:val="18"/>
                <w:szCs w:val="18"/>
              </w:rPr>
              <w:t>This agreement sets out the arrangements for sharing information between each of the organisations below.  It will detail why information is shared, how it will be done and helps to ensure that is completed in a lawful and safe manner; and in line with the General Data Protection Regulation and the Data Protection Act 2018.</w:t>
            </w:r>
          </w:p>
        </w:tc>
      </w:tr>
    </w:tbl>
    <w:p w14:paraId="7B21C65F" w14:textId="77777777" w:rsidR="000C3208" w:rsidRDefault="000C3208"/>
    <w:p w14:paraId="59C4211F" w14:textId="03D827FA" w:rsidR="000C3208" w:rsidRDefault="009E6A3C">
      <w:pPr>
        <w:pStyle w:val="Heading2"/>
        <w:jc w:val="center"/>
        <w:rPr>
          <w:sz w:val="40"/>
          <w:szCs w:val="40"/>
        </w:rPr>
      </w:pPr>
      <w:bookmarkStart w:id="1" w:name="_heading=h.30j0zll" w:colFirst="0" w:colLast="0"/>
      <w:bookmarkEnd w:id="1"/>
      <w:r>
        <w:rPr>
          <w:sz w:val="40"/>
          <w:szCs w:val="40"/>
        </w:rPr>
        <w:t xml:space="preserve">Sharing of </w:t>
      </w:r>
      <w:r w:rsidR="00407D9A">
        <w:rPr>
          <w:sz w:val="40"/>
          <w:szCs w:val="40"/>
        </w:rPr>
        <w:t>Student</w:t>
      </w:r>
      <w:r>
        <w:rPr>
          <w:sz w:val="40"/>
          <w:szCs w:val="40"/>
        </w:rPr>
        <w:t xml:space="preserve"> Information between </w:t>
      </w:r>
    </w:p>
    <w:p w14:paraId="543790C8" w14:textId="4D9B143C" w:rsidR="000C3208" w:rsidRDefault="009E6A3C">
      <w:pPr>
        <w:pStyle w:val="Heading2"/>
        <w:jc w:val="center"/>
        <w:rPr>
          <w:sz w:val="40"/>
          <w:szCs w:val="40"/>
        </w:rPr>
      </w:pPr>
      <w:bookmarkStart w:id="2" w:name="_heading=h.1fob9te" w:colFirst="0" w:colLast="0"/>
      <w:bookmarkEnd w:id="2"/>
      <w:r>
        <w:rPr>
          <w:sz w:val="40"/>
          <w:szCs w:val="40"/>
        </w:rPr>
        <w:t xml:space="preserve">Sheffield City Council </w:t>
      </w:r>
      <w:r w:rsidR="00407D9A">
        <w:rPr>
          <w:sz w:val="40"/>
          <w:szCs w:val="40"/>
        </w:rPr>
        <w:t xml:space="preserve">(Music Hub) </w:t>
      </w:r>
    </w:p>
    <w:p w14:paraId="72BA1F6C" w14:textId="77777777" w:rsidR="000C3208" w:rsidRDefault="009E6A3C">
      <w:pPr>
        <w:pStyle w:val="Heading2"/>
        <w:jc w:val="center"/>
        <w:rPr>
          <w:sz w:val="40"/>
          <w:szCs w:val="40"/>
        </w:rPr>
      </w:pPr>
      <w:bookmarkStart w:id="3" w:name="_heading=h.3znysh7" w:colFirst="0" w:colLast="0"/>
      <w:bookmarkEnd w:id="3"/>
      <w:r>
        <w:rPr>
          <w:sz w:val="40"/>
          <w:szCs w:val="40"/>
        </w:rPr>
        <w:t>and</w:t>
      </w:r>
    </w:p>
    <w:p w14:paraId="6954591C" w14:textId="77777777" w:rsidR="000C3208" w:rsidRDefault="009E6A3C">
      <w:pPr>
        <w:pStyle w:val="Heading2"/>
        <w:jc w:val="center"/>
        <w:rPr>
          <w:sz w:val="40"/>
          <w:szCs w:val="40"/>
        </w:rPr>
      </w:pPr>
      <w:bookmarkStart w:id="4" w:name="_heading=h.2et92p0" w:colFirst="0" w:colLast="0"/>
      <w:bookmarkEnd w:id="4"/>
      <w:r>
        <w:rPr>
          <w:sz w:val="40"/>
          <w:szCs w:val="40"/>
          <w:highlight w:val="yellow"/>
        </w:rPr>
        <w:t>[Insert School Name]</w:t>
      </w:r>
    </w:p>
    <w:p w14:paraId="63EB7025" w14:textId="77777777" w:rsidR="000C3208" w:rsidRDefault="009E6A3C">
      <w:r>
        <w:tab/>
      </w:r>
    </w:p>
    <w:p w14:paraId="5A3A27A3" w14:textId="77777777" w:rsidR="000C3208" w:rsidRDefault="009E6A3C">
      <w:pPr>
        <w:keepNext/>
        <w:keepLines/>
        <w:pBdr>
          <w:top w:val="nil"/>
          <w:left w:val="nil"/>
          <w:bottom w:val="nil"/>
          <w:right w:val="nil"/>
          <w:between w:val="nil"/>
        </w:pBdr>
        <w:spacing w:before="480" w:after="0"/>
        <w:rPr>
          <w:rFonts w:ascii="Cambria" w:eastAsia="Cambria" w:hAnsi="Cambria" w:cs="Cambria"/>
          <w:b/>
          <w:color w:val="366091"/>
          <w:sz w:val="28"/>
          <w:szCs w:val="28"/>
        </w:rPr>
      </w:pPr>
      <w:r>
        <w:rPr>
          <w:rFonts w:ascii="Cambria" w:eastAsia="Cambria" w:hAnsi="Cambria" w:cs="Cambria"/>
          <w:b/>
          <w:color w:val="366091"/>
          <w:sz w:val="28"/>
          <w:szCs w:val="28"/>
        </w:rPr>
        <w:t>Contents</w:t>
      </w:r>
    </w:p>
    <w:p w14:paraId="040F7D26" w14:textId="77777777" w:rsidR="000C3208" w:rsidRDefault="009E6A3C">
      <w:pPr>
        <w:widowControl w:val="0"/>
        <w:pBdr>
          <w:top w:val="nil"/>
          <w:left w:val="nil"/>
          <w:bottom w:val="nil"/>
          <w:right w:val="nil"/>
          <w:between w:val="nil"/>
        </w:pBdr>
        <w:spacing w:after="0"/>
        <w:rPr>
          <w:color w:val="000000"/>
        </w:rPr>
      </w:pPr>
      <w:r>
        <w:rPr>
          <w:color w:val="000000"/>
        </w:rPr>
        <w:t xml:space="preserve"> </w:t>
      </w:r>
    </w:p>
    <w:sdt>
      <w:sdtPr>
        <w:id w:val="-1164701013"/>
        <w:docPartObj>
          <w:docPartGallery w:val="Table of Contents"/>
          <w:docPartUnique/>
        </w:docPartObj>
      </w:sdtPr>
      <w:sdtEndPr/>
      <w:sdtContent>
        <w:p w14:paraId="6140C19E" w14:textId="77777777" w:rsidR="000C3208" w:rsidRDefault="009E6A3C">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p>
        <w:p w14:paraId="0C50A7B0" w14:textId="77777777" w:rsidR="000C3208" w:rsidRDefault="008C3075">
          <w:pPr>
            <w:pBdr>
              <w:top w:val="nil"/>
              <w:left w:val="nil"/>
              <w:bottom w:val="nil"/>
              <w:right w:val="nil"/>
              <w:between w:val="nil"/>
            </w:pBdr>
            <w:tabs>
              <w:tab w:val="right" w:pos="9016"/>
            </w:tabs>
            <w:spacing w:after="100"/>
            <w:ind w:left="440"/>
            <w:rPr>
              <w:color w:val="000000"/>
            </w:rPr>
          </w:pPr>
          <w:hyperlink w:anchor="_heading=h.1t3h5sf">
            <w:r w:rsidR="009E6A3C">
              <w:rPr>
                <w:color w:val="000000"/>
              </w:rPr>
              <w:t>Reason / Purpose for Sharing Information</w:t>
            </w:r>
            <w:r w:rsidR="009E6A3C">
              <w:rPr>
                <w:color w:val="000000"/>
              </w:rPr>
              <w:tab/>
              <w:t>2</w:t>
            </w:r>
          </w:hyperlink>
        </w:p>
        <w:p w14:paraId="0D3DC3E3" w14:textId="77777777" w:rsidR="000C3208" w:rsidRDefault="008C3075">
          <w:pPr>
            <w:pBdr>
              <w:top w:val="nil"/>
              <w:left w:val="nil"/>
              <w:bottom w:val="nil"/>
              <w:right w:val="nil"/>
              <w:between w:val="nil"/>
            </w:pBdr>
            <w:tabs>
              <w:tab w:val="right" w:pos="9016"/>
            </w:tabs>
            <w:spacing w:after="100"/>
            <w:ind w:left="440"/>
            <w:rPr>
              <w:color w:val="000000"/>
            </w:rPr>
          </w:pPr>
          <w:hyperlink w:anchor="_heading=h.4d34og8">
            <w:r w:rsidR="009E6A3C">
              <w:rPr>
                <w:color w:val="000000"/>
              </w:rPr>
              <w:t>Organisations/Bodies Party to this Agreement</w:t>
            </w:r>
            <w:r w:rsidR="009E6A3C">
              <w:rPr>
                <w:color w:val="000000"/>
              </w:rPr>
              <w:tab/>
              <w:t>2</w:t>
            </w:r>
          </w:hyperlink>
        </w:p>
        <w:p w14:paraId="159090BE" w14:textId="77777777" w:rsidR="000C3208" w:rsidRDefault="008C3075">
          <w:pPr>
            <w:pBdr>
              <w:top w:val="nil"/>
              <w:left w:val="nil"/>
              <w:bottom w:val="nil"/>
              <w:right w:val="nil"/>
              <w:between w:val="nil"/>
            </w:pBdr>
            <w:tabs>
              <w:tab w:val="right" w:pos="9016"/>
            </w:tabs>
            <w:spacing w:after="100"/>
            <w:ind w:left="440"/>
            <w:rPr>
              <w:color w:val="000000"/>
            </w:rPr>
          </w:pPr>
          <w:hyperlink w:anchor="_heading=h.3rdcrjn">
            <w:r w:rsidR="009E6A3C">
              <w:rPr>
                <w:color w:val="000000"/>
              </w:rPr>
              <w:t>Information to be Shared</w:t>
            </w:r>
            <w:r w:rsidR="009E6A3C">
              <w:rPr>
                <w:color w:val="000000"/>
              </w:rPr>
              <w:tab/>
              <w:t>2</w:t>
            </w:r>
          </w:hyperlink>
        </w:p>
        <w:p w14:paraId="660D821E" w14:textId="77777777" w:rsidR="000C3208" w:rsidRDefault="008C3075">
          <w:pPr>
            <w:pBdr>
              <w:top w:val="nil"/>
              <w:left w:val="nil"/>
              <w:bottom w:val="nil"/>
              <w:right w:val="nil"/>
              <w:between w:val="nil"/>
            </w:pBdr>
            <w:tabs>
              <w:tab w:val="right" w:pos="9016"/>
            </w:tabs>
            <w:spacing w:after="100"/>
            <w:ind w:left="440"/>
            <w:rPr>
              <w:color w:val="000000"/>
            </w:rPr>
          </w:pPr>
          <w:hyperlink w:anchor="_heading=h.26in1rg">
            <w:r w:rsidR="009E6A3C">
              <w:rPr>
                <w:color w:val="000000"/>
              </w:rPr>
              <w:t>Data Protection Legal Basis for Sharing the Information</w:t>
            </w:r>
            <w:r w:rsidR="009E6A3C">
              <w:rPr>
                <w:color w:val="000000"/>
              </w:rPr>
              <w:tab/>
              <w:t>3</w:t>
            </w:r>
          </w:hyperlink>
        </w:p>
        <w:p w14:paraId="2F45A279" w14:textId="77777777" w:rsidR="000C3208" w:rsidRDefault="008C3075">
          <w:pPr>
            <w:pBdr>
              <w:top w:val="nil"/>
              <w:left w:val="nil"/>
              <w:bottom w:val="nil"/>
              <w:right w:val="nil"/>
              <w:between w:val="nil"/>
            </w:pBdr>
            <w:tabs>
              <w:tab w:val="right" w:pos="9016"/>
            </w:tabs>
            <w:spacing w:after="100"/>
            <w:ind w:left="440"/>
            <w:rPr>
              <w:color w:val="000000"/>
            </w:rPr>
          </w:pPr>
          <w:hyperlink w:anchor="_heading=h.2xcytpi">
            <w:r w:rsidR="009E6A3C">
              <w:rPr>
                <w:color w:val="000000"/>
              </w:rPr>
              <w:t>Other Legislation</w:t>
            </w:r>
            <w:r w:rsidR="009E6A3C">
              <w:rPr>
                <w:color w:val="000000"/>
              </w:rPr>
              <w:tab/>
              <w:t>4</w:t>
            </w:r>
          </w:hyperlink>
        </w:p>
        <w:p w14:paraId="1D76D32D" w14:textId="77777777" w:rsidR="000C3208" w:rsidRDefault="008C3075">
          <w:pPr>
            <w:pBdr>
              <w:top w:val="nil"/>
              <w:left w:val="nil"/>
              <w:bottom w:val="nil"/>
              <w:right w:val="nil"/>
              <w:between w:val="nil"/>
            </w:pBdr>
            <w:tabs>
              <w:tab w:val="right" w:pos="9016"/>
            </w:tabs>
            <w:spacing w:after="100"/>
            <w:ind w:left="440"/>
            <w:rPr>
              <w:color w:val="000000"/>
            </w:rPr>
          </w:pPr>
          <w:hyperlink w:anchor="_heading=h.2bn6wsx">
            <w:r w:rsidR="009E6A3C">
              <w:rPr>
                <w:color w:val="000000"/>
              </w:rPr>
              <w:t>Privacy Notices</w:t>
            </w:r>
            <w:r w:rsidR="009E6A3C">
              <w:rPr>
                <w:color w:val="000000"/>
              </w:rPr>
              <w:tab/>
              <w:t>4</w:t>
            </w:r>
          </w:hyperlink>
        </w:p>
        <w:p w14:paraId="7290294E" w14:textId="77777777" w:rsidR="000C3208" w:rsidRDefault="008C3075">
          <w:pPr>
            <w:pBdr>
              <w:top w:val="nil"/>
              <w:left w:val="nil"/>
              <w:bottom w:val="nil"/>
              <w:right w:val="nil"/>
              <w:between w:val="nil"/>
            </w:pBdr>
            <w:tabs>
              <w:tab w:val="right" w:pos="9016"/>
            </w:tabs>
            <w:spacing w:after="100"/>
            <w:ind w:left="440"/>
            <w:rPr>
              <w:color w:val="000000"/>
            </w:rPr>
          </w:pPr>
          <w:hyperlink w:anchor="_heading=h.qsh70q">
            <w:r w:rsidR="009E6A3C">
              <w:rPr>
                <w:color w:val="000000"/>
              </w:rPr>
              <w:t>Sharing of the Information</w:t>
            </w:r>
            <w:r w:rsidR="009E6A3C">
              <w:rPr>
                <w:color w:val="000000"/>
              </w:rPr>
              <w:tab/>
              <w:t>4</w:t>
            </w:r>
          </w:hyperlink>
        </w:p>
        <w:p w14:paraId="1F8D8BE0" w14:textId="77777777" w:rsidR="000C3208" w:rsidRDefault="008C3075">
          <w:pPr>
            <w:pBdr>
              <w:top w:val="nil"/>
              <w:left w:val="nil"/>
              <w:bottom w:val="nil"/>
              <w:right w:val="nil"/>
              <w:between w:val="nil"/>
            </w:pBdr>
            <w:tabs>
              <w:tab w:val="right" w:pos="9016"/>
            </w:tabs>
            <w:spacing w:after="100"/>
            <w:ind w:left="440"/>
            <w:rPr>
              <w:color w:val="000000"/>
            </w:rPr>
          </w:pPr>
          <w:hyperlink w:anchor="_heading=h.3as4poj">
            <w:r w:rsidR="009E6A3C">
              <w:rPr>
                <w:color w:val="000000"/>
              </w:rPr>
              <w:t>Storage, Retention and Destruction of the Information</w:t>
            </w:r>
            <w:r w:rsidR="009E6A3C">
              <w:rPr>
                <w:color w:val="000000"/>
              </w:rPr>
              <w:tab/>
              <w:t>4</w:t>
            </w:r>
          </w:hyperlink>
        </w:p>
        <w:p w14:paraId="143BD1A4" w14:textId="77777777" w:rsidR="000C3208" w:rsidRDefault="008C3075">
          <w:pPr>
            <w:pBdr>
              <w:top w:val="nil"/>
              <w:left w:val="nil"/>
              <w:bottom w:val="nil"/>
              <w:right w:val="nil"/>
              <w:between w:val="nil"/>
            </w:pBdr>
            <w:tabs>
              <w:tab w:val="right" w:pos="9016"/>
            </w:tabs>
            <w:spacing w:after="100"/>
            <w:ind w:left="440"/>
            <w:rPr>
              <w:color w:val="000000"/>
            </w:rPr>
          </w:pPr>
          <w:hyperlink w:anchor="_heading=h.1pxezwc">
            <w:r w:rsidR="009E6A3C">
              <w:rPr>
                <w:color w:val="000000"/>
              </w:rPr>
              <w:t>Data Subject Rights</w:t>
            </w:r>
            <w:r w:rsidR="009E6A3C">
              <w:rPr>
                <w:color w:val="000000"/>
              </w:rPr>
              <w:tab/>
              <w:t>5</w:t>
            </w:r>
          </w:hyperlink>
        </w:p>
        <w:p w14:paraId="55E63C12" w14:textId="77777777" w:rsidR="000C3208" w:rsidRDefault="008C3075">
          <w:pPr>
            <w:pBdr>
              <w:top w:val="nil"/>
              <w:left w:val="nil"/>
              <w:bottom w:val="nil"/>
              <w:right w:val="nil"/>
              <w:between w:val="nil"/>
            </w:pBdr>
            <w:tabs>
              <w:tab w:val="right" w:pos="9016"/>
            </w:tabs>
            <w:spacing w:after="100"/>
            <w:ind w:left="440"/>
            <w:rPr>
              <w:color w:val="000000"/>
            </w:rPr>
          </w:pPr>
          <w:hyperlink w:anchor="_heading=h.49x2ik5">
            <w:r w:rsidR="009E6A3C">
              <w:rPr>
                <w:color w:val="000000"/>
              </w:rPr>
              <w:t>Personal Data Breaches</w:t>
            </w:r>
            <w:r w:rsidR="009E6A3C">
              <w:rPr>
                <w:color w:val="000000"/>
              </w:rPr>
              <w:tab/>
              <w:t>5</w:t>
            </w:r>
          </w:hyperlink>
        </w:p>
        <w:p w14:paraId="7C9B60EB" w14:textId="77777777" w:rsidR="000C3208" w:rsidRDefault="008C3075">
          <w:pPr>
            <w:pBdr>
              <w:top w:val="nil"/>
              <w:left w:val="nil"/>
              <w:bottom w:val="nil"/>
              <w:right w:val="nil"/>
              <w:between w:val="nil"/>
            </w:pBdr>
            <w:tabs>
              <w:tab w:val="right" w:pos="9016"/>
            </w:tabs>
            <w:spacing w:after="100"/>
            <w:ind w:left="440"/>
            <w:rPr>
              <w:color w:val="000000"/>
            </w:rPr>
          </w:pPr>
          <w:hyperlink w:anchor="_heading=h.2p2csry">
            <w:r w:rsidR="009E6A3C">
              <w:rPr>
                <w:color w:val="000000"/>
              </w:rPr>
              <w:t>Review of this Agreement</w:t>
            </w:r>
            <w:r w:rsidR="009E6A3C">
              <w:rPr>
                <w:color w:val="000000"/>
              </w:rPr>
              <w:tab/>
              <w:t>5</w:t>
            </w:r>
          </w:hyperlink>
        </w:p>
        <w:p w14:paraId="6FE2042A" w14:textId="77777777" w:rsidR="000C3208" w:rsidRDefault="008C3075">
          <w:pPr>
            <w:pBdr>
              <w:top w:val="nil"/>
              <w:left w:val="nil"/>
              <w:bottom w:val="nil"/>
              <w:right w:val="nil"/>
              <w:between w:val="nil"/>
            </w:pBdr>
            <w:tabs>
              <w:tab w:val="right" w:pos="9016"/>
            </w:tabs>
            <w:spacing w:after="100"/>
            <w:ind w:left="440"/>
            <w:rPr>
              <w:color w:val="000000"/>
            </w:rPr>
          </w:pPr>
          <w:hyperlink w:anchor="_heading=h.147n2zr">
            <w:r w:rsidR="009E6A3C">
              <w:rPr>
                <w:color w:val="000000"/>
              </w:rPr>
              <w:t>Signatories/Key Contacts</w:t>
            </w:r>
            <w:r w:rsidR="009E6A3C">
              <w:rPr>
                <w:color w:val="000000"/>
              </w:rPr>
              <w:tab/>
              <w:t>6</w:t>
            </w:r>
          </w:hyperlink>
        </w:p>
        <w:p w14:paraId="4CC6B592" w14:textId="77777777" w:rsidR="000C3208" w:rsidRDefault="008C3075">
          <w:pPr>
            <w:pBdr>
              <w:top w:val="nil"/>
              <w:left w:val="nil"/>
              <w:bottom w:val="nil"/>
              <w:right w:val="nil"/>
              <w:between w:val="nil"/>
            </w:pBdr>
            <w:tabs>
              <w:tab w:val="right" w:pos="9016"/>
            </w:tabs>
            <w:spacing w:after="100"/>
            <w:ind w:left="440"/>
            <w:rPr>
              <w:color w:val="000000"/>
            </w:rPr>
          </w:pPr>
          <w:hyperlink w:anchor="_heading=h.3o7alnk">
            <w:r w:rsidR="009E6A3C">
              <w:rPr>
                <w:color w:val="000000"/>
              </w:rPr>
              <w:t>Appendices</w:t>
            </w:r>
            <w:r w:rsidR="009E6A3C">
              <w:rPr>
                <w:color w:val="000000"/>
              </w:rPr>
              <w:tab/>
              <w:t>6</w:t>
            </w:r>
          </w:hyperlink>
        </w:p>
        <w:p w14:paraId="7E3074AE" w14:textId="77777777" w:rsidR="000C3208" w:rsidRDefault="009E6A3C">
          <w:r>
            <w:fldChar w:fldCharType="end"/>
          </w:r>
        </w:p>
      </w:sdtContent>
    </w:sdt>
    <w:p w14:paraId="23F944D4" w14:textId="77777777" w:rsidR="000C3208" w:rsidRDefault="000C3208">
      <w:pPr>
        <w:widowControl w:val="0"/>
        <w:pBdr>
          <w:top w:val="nil"/>
          <w:left w:val="nil"/>
          <w:bottom w:val="nil"/>
          <w:right w:val="nil"/>
          <w:between w:val="nil"/>
        </w:pBdr>
        <w:spacing w:after="0"/>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503"/>
      </w:tblGrid>
      <w:tr w:rsidR="000C3208" w14:paraId="7F6569B0" w14:textId="77777777">
        <w:tc>
          <w:tcPr>
            <w:tcW w:w="4513" w:type="dxa"/>
          </w:tcPr>
          <w:p w14:paraId="2CD2382F" w14:textId="77777777" w:rsidR="000C3208" w:rsidRDefault="009E6A3C">
            <w:pPr>
              <w:pStyle w:val="Heading3"/>
            </w:pPr>
            <w:bookmarkStart w:id="5" w:name="_heading=h.tyjcwt" w:colFirst="0" w:colLast="0"/>
            <w:bookmarkEnd w:id="5"/>
            <w:r>
              <w:lastRenderedPageBreak/>
              <w:t>Version History</w:t>
            </w:r>
          </w:p>
        </w:tc>
        <w:tc>
          <w:tcPr>
            <w:tcW w:w="4503" w:type="dxa"/>
          </w:tcPr>
          <w:p w14:paraId="17C21B46" w14:textId="77777777" w:rsidR="000C3208" w:rsidRDefault="009E6A3C">
            <w:pPr>
              <w:pStyle w:val="Heading3"/>
            </w:pPr>
            <w:bookmarkStart w:id="6" w:name="_heading=h.3dy6vkm" w:colFirst="0" w:colLast="0"/>
            <w:bookmarkEnd w:id="6"/>
            <w:r>
              <w:t>Date</w:t>
            </w:r>
          </w:p>
          <w:p w14:paraId="0C9D08C0" w14:textId="77777777" w:rsidR="000C3208" w:rsidRDefault="000C3208"/>
        </w:tc>
      </w:tr>
      <w:tr w:rsidR="000C3208" w14:paraId="569DB897" w14:textId="77777777">
        <w:tc>
          <w:tcPr>
            <w:tcW w:w="4513" w:type="dxa"/>
          </w:tcPr>
          <w:p w14:paraId="70949120" w14:textId="77777777" w:rsidR="000C3208" w:rsidRDefault="009E6A3C">
            <w:r>
              <w:t>0.1 - Initial Draft</w:t>
            </w:r>
          </w:p>
        </w:tc>
        <w:tc>
          <w:tcPr>
            <w:tcW w:w="4503" w:type="dxa"/>
            <w:shd w:val="clear" w:color="auto" w:fill="FFFF00"/>
          </w:tcPr>
          <w:p w14:paraId="0E907323" w14:textId="77777777" w:rsidR="000C3208" w:rsidRDefault="009E6A3C">
            <w:pPr>
              <w:rPr>
                <w:highlight w:val="yellow"/>
              </w:rPr>
            </w:pPr>
            <w:r>
              <w:rPr>
                <w:highlight w:val="yellow"/>
              </w:rPr>
              <w:t>6.4.21</w:t>
            </w:r>
          </w:p>
        </w:tc>
      </w:tr>
      <w:tr w:rsidR="000C3208" w14:paraId="14F0A003" w14:textId="77777777">
        <w:tc>
          <w:tcPr>
            <w:tcW w:w="4513" w:type="dxa"/>
          </w:tcPr>
          <w:p w14:paraId="7BBF5F81" w14:textId="77777777" w:rsidR="000C3208" w:rsidRDefault="009E6A3C">
            <w:r>
              <w:t>1.0 – Agreement comes into force</w:t>
            </w:r>
          </w:p>
        </w:tc>
        <w:tc>
          <w:tcPr>
            <w:tcW w:w="4503" w:type="dxa"/>
            <w:shd w:val="clear" w:color="auto" w:fill="FFFF00"/>
          </w:tcPr>
          <w:p w14:paraId="77BFD238" w14:textId="77777777" w:rsidR="000C3208" w:rsidRDefault="000C3208"/>
        </w:tc>
      </w:tr>
      <w:tr w:rsidR="000C3208" w14:paraId="2313A6E4" w14:textId="77777777">
        <w:tc>
          <w:tcPr>
            <w:tcW w:w="4513" w:type="dxa"/>
          </w:tcPr>
          <w:p w14:paraId="6E375BB1" w14:textId="77777777" w:rsidR="000C3208" w:rsidRDefault="000C3208"/>
        </w:tc>
        <w:tc>
          <w:tcPr>
            <w:tcW w:w="4503" w:type="dxa"/>
          </w:tcPr>
          <w:p w14:paraId="5CC595E0" w14:textId="77777777" w:rsidR="000C3208" w:rsidRDefault="000C3208"/>
        </w:tc>
      </w:tr>
    </w:tbl>
    <w:p w14:paraId="43F63D9D" w14:textId="77777777" w:rsidR="000C3208" w:rsidRDefault="009E6A3C">
      <w:pPr>
        <w:pStyle w:val="Heading3"/>
      </w:pPr>
      <w:bookmarkStart w:id="7" w:name="_heading=h.1t3h5sf" w:colFirst="0" w:colLast="0"/>
      <w:bookmarkEnd w:id="7"/>
      <w:r>
        <w:t>Reason / Purpose for Sharing Information</w:t>
      </w:r>
    </w:p>
    <w:p w14:paraId="58A68022" w14:textId="77777777" w:rsidR="000C3208" w:rsidRDefault="000C3208">
      <w:pPr>
        <w:rPr>
          <w:b/>
        </w:rPr>
      </w:pPr>
    </w:p>
    <w:p w14:paraId="4A3B3201" w14:textId="77777777" w:rsidR="00407D9A" w:rsidRDefault="00407D9A" w:rsidP="00407D9A">
      <w:pPr>
        <w:rPr>
          <w:rFonts w:ascii="Arial" w:eastAsia="Arial" w:hAnsi="Arial" w:cs="Arial"/>
          <w:b/>
          <w:sz w:val="24"/>
          <w:szCs w:val="24"/>
        </w:rPr>
      </w:pPr>
      <w:r>
        <w:rPr>
          <w:rFonts w:ascii="Arial" w:eastAsia="Arial" w:hAnsi="Arial" w:cs="Arial"/>
          <w:b/>
          <w:sz w:val="24"/>
          <w:szCs w:val="24"/>
        </w:rPr>
        <w:t>Currently Sheffield Music Hub (SMH) Music Leaders deliver ongoing music tuition to schools and pupils in Sheffield who sign up to lessons.  Individual or shared lessons are purchased through parents and have an application process which requires specific information to support that child during the musical journey (detailed in the ‘</w:t>
      </w:r>
      <w:r>
        <w:rPr>
          <w:rFonts w:ascii="Arial" w:eastAsia="Arial" w:hAnsi="Arial" w:cs="Arial"/>
          <w:b/>
          <w:i/>
          <w:sz w:val="24"/>
          <w:szCs w:val="24"/>
        </w:rPr>
        <w:t>Information to be Shared</w:t>
      </w:r>
      <w:r>
        <w:rPr>
          <w:rFonts w:ascii="Arial" w:eastAsia="Arial" w:hAnsi="Arial" w:cs="Arial"/>
          <w:b/>
          <w:sz w:val="24"/>
          <w:szCs w:val="24"/>
        </w:rPr>
        <w:t xml:space="preserve"> ‘section) however for whole class tuition this is not the case and in most instances music leaders have no information or knowledge on the students they are teaching. </w:t>
      </w:r>
    </w:p>
    <w:p w14:paraId="30168484" w14:textId="77777777" w:rsidR="00407D9A" w:rsidRDefault="00407D9A" w:rsidP="00407D9A">
      <w:pPr>
        <w:rPr>
          <w:rFonts w:ascii="Arial" w:eastAsia="Arial" w:hAnsi="Arial" w:cs="Arial"/>
          <w:b/>
          <w:sz w:val="24"/>
          <w:szCs w:val="24"/>
        </w:rPr>
      </w:pPr>
      <w:r>
        <w:rPr>
          <w:rFonts w:ascii="Arial" w:eastAsia="Arial" w:hAnsi="Arial" w:cs="Arial"/>
          <w:b/>
          <w:sz w:val="24"/>
          <w:szCs w:val="24"/>
        </w:rPr>
        <w:t xml:space="preserve">These whole class sessions take place during the normal school hours and for each session the Music leader is often left to manage a classroom alone and are taking on the responsibility of guardian/ parent/ responsible adult/ teacher for that </w:t>
      </w:r>
      <w:proofErr w:type="gramStart"/>
      <w:r>
        <w:rPr>
          <w:rFonts w:ascii="Arial" w:eastAsia="Arial" w:hAnsi="Arial" w:cs="Arial"/>
          <w:b/>
          <w:sz w:val="24"/>
          <w:szCs w:val="24"/>
        </w:rPr>
        <w:t>period of time</w:t>
      </w:r>
      <w:proofErr w:type="gramEnd"/>
      <w:r>
        <w:rPr>
          <w:rFonts w:ascii="Arial" w:eastAsia="Arial" w:hAnsi="Arial" w:cs="Arial"/>
          <w:b/>
          <w:sz w:val="24"/>
          <w:szCs w:val="24"/>
        </w:rPr>
        <w:t xml:space="preserve">. </w:t>
      </w:r>
    </w:p>
    <w:p w14:paraId="5016A09A" w14:textId="77777777" w:rsidR="000C3208" w:rsidRDefault="009E6A3C">
      <w:pPr>
        <w:rPr>
          <w:rFonts w:ascii="Arial" w:eastAsia="Arial" w:hAnsi="Arial" w:cs="Arial"/>
          <w:b/>
          <w:sz w:val="24"/>
          <w:szCs w:val="24"/>
        </w:rPr>
      </w:pPr>
      <w:r>
        <w:rPr>
          <w:rFonts w:ascii="Arial" w:eastAsia="Arial" w:hAnsi="Arial" w:cs="Arial"/>
          <w:b/>
          <w:sz w:val="24"/>
          <w:szCs w:val="24"/>
        </w:rPr>
        <w:t xml:space="preserve">As such there is a Duty of Care in place for these Music Leaders to be supported in all aspects of the children they are teaching - this can include background/ communication methods / emotional barriers / bad habits/ family relationships and any other significant factors around the general status, </w:t>
      </w:r>
      <w:proofErr w:type="gramStart"/>
      <w:r>
        <w:rPr>
          <w:rFonts w:ascii="Arial" w:eastAsia="Arial" w:hAnsi="Arial" w:cs="Arial"/>
          <w:b/>
          <w:sz w:val="24"/>
          <w:szCs w:val="24"/>
        </w:rPr>
        <w:t>health</w:t>
      </w:r>
      <w:proofErr w:type="gramEnd"/>
      <w:r>
        <w:rPr>
          <w:rFonts w:ascii="Arial" w:eastAsia="Arial" w:hAnsi="Arial" w:cs="Arial"/>
          <w:b/>
          <w:sz w:val="24"/>
          <w:szCs w:val="24"/>
        </w:rPr>
        <w:t xml:space="preserve"> and wellbeing of that child.</w:t>
      </w:r>
    </w:p>
    <w:p w14:paraId="0F1C1F8C" w14:textId="77777777" w:rsidR="000C3208" w:rsidRDefault="009E6A3C">
      <w:pPr>
        <w:rPr>
          <w:rFonts w:ascii="Arial" w:eastAsia="Arial" w:hAnsi="Arial" w:cs="Arial"/>
          <w:b/>
          <w:sz w:val="24"/>
          <w:szCs w:val="24"/>
        </w:rPr>
      </w:pPr>
      <w:r>
        <w:rPr>
          <w:rFonts w:ascii="Arial" w:eastAsia="Arial" w:hAnsi="Arial" w:cs="Arial"/>
          <w:b/>
          <w:sz w:val="24"/>
          <w:szCs w:val="24"/>
        </w:rPr>
        <w:t>This is to enable the appropriate response and support to that child and adapt teaching to suit their individual and specific needs.  (This is covered in more detail in the ‘</w:t>
      </w:r>
      <w:r>
        <w:rPr>
          <w:rFonts w:ascii="Arial" w:eastAsia="Arial" w:hAnsi="Arial" w:cs="Arial"/>
          <w:b/>
          <w:i/>
          <w:sz w:val="24"/>
          <w:szCs w:val="24"/>
        </w:rPr>
        <w:t>Information to be Shared’</w:t>
      </w:r>
      <w:r>
        <w:rPr>
          <w:rFonts w:ascii="Arial" w:eastAsia="Arial" w:hAnsi="Arial" w:cs="Arial"/>
          <w:b/>
          <w:sz w:val="24"/>
          <w:szCs w:val="24"/>
        </w:rPr>
        <w:t xml:space="preserve"> section)</w:t>
      </w:r>
    </w:p>
    <w:p w14:paraId="44F2EB0B" w14:textId="296F710B" w:rsidR="000C3208" w:rsidRDefault="009E6A3C">
      <w:pPr>
        <w:rPr>
          <w:rFonts w:ascii="Arial" w:eastAsia="Arial" w:hAnsi="Arial" w:cs="Arial"/>
          <w:b/>
          <w:color w:val="202124"/>
          <w:sz w:val="24"/>
          <w:szCs w:val="24"/>
        </w:rPr>
      </w:pPr>
      <w:r>
        <w:rPr>
          <w:rFonts w:ascii="Arial" w:eastAsia="Arial" w:hAnsi="Arial" w:cs="Arial"/>
          <w:b/>
          <w:color w:val="202124"/>
          <w:sz w:val="24"/>
          <w:szCs w:val="24"/>
          <w:highlight w:val="white"/>
        </w:rPr>
        <w:t xml:space="preserve">By understanding child (and adolescent) development, a teacher can make the most appropriate decisions possible about expectations for students, how to best have students engage with the material, and how to push students to grow academically, </w:t>
      </w:r>
      <w:proofErr w:type="gramStart"/>
      <w:r>
        <w:rPr>
          <w:rFonts w:ascii="Arial" w:eastAsia="Arial" w:hAnsi="Arial" w:cs="Arial"/>
          <w:b/>
          <w:color w:val="202124"/>
          <w:sz w:val="24"/>
          <w:szCs w:val="24"/>
          <w:highlight w:val="white"/>
        </w:rPr>
        <w:t>emotionally</w:t>
      </w:r>
      <w:proofErr w:type="gramEnd"/>
      <w:r>
        <w:rPr>
          <w:rFonts w:ascii="Arial" w:eastAsia="Arial" w:hAnsi="Arial" w:cs="Arial"/>
          <w:b/>
          <w:color w:val="202124"/>
          <w:sz w:val="24"/>
          <w:szCs w:val="24"/>
          <w:highlight w:val="white"/>
        </w:rPr>
        <w:t xml:space="preserve"> and socially.</w:t>
      </w:r>
    </w:p>
    <w:p w14:paraId="311E631C" w14:textId="77777777" w:rsidR="00407D9A" w:rsidRDefault="00407D9A" w:rsidP="00407D9A">
      <w:pPr>
        <w:rPr>
          <w:rFonts w:ascii="Arial" w:eastAsia="Arial" w:hAnsi="Arial" w:cs="Arial"/>
          <w:b/>
          <w:sz w:val="24"/>
          <w:szCs w:val="24"/>
        </w:rPr>
      </w:pPr>
      <w:r>
        <w:rPr>
          <w:rFonts w:ascii="Arial" w:eastAsia="Arial" w:hAnsi="Arial" w:cs="Arial"/>
          <w:b/>
          <w:sz w:val="24"/>
          <w:szCs w:val="24"/>
        </w:rPr>
        <w:t xml:space="preserve">Information sharing is an important aspect in the Safeguarding of Children.   Often a failure to share information can be a key factor in Serious Case Reviews and create barriers within the educational settings which can directly affect both the child, school, </w:t>
      </w:r>
      <w:proofErr w:type="gramStart"/>
      <w:r>
        <w:rPr>
          <w:rFonts w:ascii="Arial" w:eastAsia="Arial" w:hAnsi="Arial" w:cs="Arial"/>
          <w:b/>
          <w:sz w:val="24"/>
          <w:szCs w:val="24"/>
        </w:rPr>
        <w:t>teacher</w:t>
      </w:r>
      <w:proofErr w:type="gramEnd"/>
      <w:r>
        <w:rPr>
          <w:rFonts w:ascii="Arial" w:eastAsia="Arial" w:hAnsi="Arial" w:cs="Arial"/>
          <w:b/>
          <w:sz w:val="24"/>
          <w:szCs w:val="24"/>
        </w:rPr>
        <w:t xml:space="preserve"> and wider family / community networks.</w:t>
      </w:r>
    </w:p>
    <w:p w14:paraId="33507828" w14:textId="77777777" w:rsidR="00407D9A" w:rsidRDefault="00407D9A">
      <w:pPr>
        <w:rPr>
          <w:rFonts w:ascii="Arial" w:eastAsia="Arial" w:hAnsi="Arial" w:cs="Arial"/>
          <w:b/>
          <w:sz w:val="24"/>
          <w:szCs w:val="24"/>
        </w:rPr>
      </w:pPr>
    </w:p>
    <w:p w14:paraId="362FCCC7" w14:textId="77777777" w:rsidR="000C3208" w:rsidRDefault="000C3208"/>
    <w:p w14:paraId="62CFC894" w14:textId="77777777" w:rsidR="000C3208" w:rsidRDefault="009E6A3C">
      <w:pPr>
        <w:pStyle w:val="Heading3"/>
      </w:pPr>
      <w:bookmarkStart w:id="8" w:name="_heading=h.4d34og8" w:colFirst="0" w:colLast="0"/>
      <w:bookmarkEnd w:id="8"/>
      <w:r>
        <w:lastRenderedPageBreak/>
        <w:t>Organisations/Bodies Party to this Agreement</w:t>
      </w:r>
    </w:p>
    <w:p w14:paraId="584ED13F" w14:textId="77777777" w:rsidR="000C3208" w:rsidRDefault="009E6A3C">
      <w:r>
        <w:t>The signatories to this agreement will represent the following organisations/bodies: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9"/>
        <w:gridCol w:w="4497"/>
      </w:tblGrid>
      <w:tr w:rsidR="000C3208" w14:paraId="4A32C5EB" w14:textId="77777777">
        <w:tc>
          <w:tcPr>
            <w:tcW w:w="4519" w:type="dxa"/>
          </w:tcPr>
          <w:p w14:paraId="62BE44E9" w14:textId="77777777" w:rsidR="000C3208" w:rsidRDefault="009E6A3C">
            <w:pPr>
              <w:pStyle w:val="Heading3"/>
            </w:pPr>
            <w:bookmarkStart w:id="9" w:name="_heading=h.2s8eyo1" w:colFirst="0" w:colLast="0"/>
            <w:bookmarkEnd w:id="9"/>
            <w:r>
              <w:t>Organisation/Body</w:t>
            </w:r>
          </w:p>
        </w:tc>
        <w:tc>
          <w:tcPr>
            <w:tcW w:w="4497" w:type="dxa"/>
          </w:tcPr>
          <w:p w14:paraId="3866957B" w14:textId="77777777" w:rsidR="000C3208" w:rsidRDefault="009E6A3C">
            <w:pPr>
              <w:pStyle w:val="Heading3"/>
            </w:pPr>
            <w:bookmarkStart w:id="10" w:name="_heading=h.17dp8vu" w:colFirst="0" w:colLast="0"/>
            <w:bookmarkEnd w:id="10"/>
            <w:r>
              <w:t>Service/Team</w:t>
            </w:r>
          </w:p>
          <w:p w14:paraId="52816CAB" w14:textId="77777777" w:rsidR="000C3208" w:rsidRDefault="000C3208"/>
        </w:tc>
      </w:tr>
      <w:tr w:rsidR="000C3208" w14:paraId="6B4AE534" w14:textId="77777777">
        <w:tc>
          <w:tcPr>
            <w:tcW w:w="4519" w:type="dxa"/>
          </w:tcPr>
          <w:p w14:paraId="18DFB47F" w14:textId="77777777" w:rsidR="000C3208" w:rsidRDefault="000C3208"/>
          <w:p w14:paraId="591C23BB" w14:textId="77777777" w:rsidR="000C3208" w:rsidRDefault="009E6A3C">
            <w:r>
              <w:t>Sheffield City Council</w:t>
            </w:r>
          </w:p>
          <w:p w14:paraId="2793B499" w14:textId="77777777" w:rsidR="000C3208" w:rsidRDefault="009E6A3C">
            <w:r>
              <w:t>Data Controller Registration Number - Z6548192</w:t>
            </w:r>
          </w:p>
          <w:p w14:paraId="68840821" w14:textId="77777777" w:rsidR="000C3208" w:rsidRDefault="000C3208"/>
        </w:tc>
        <w:tc>
          <w:tcPr>
            <w:tcW w:w="4497" w:type="dxa"/>
          </w:tcPr>
          <w:p w14:paraId="2C38BCD2" w14:textId="77777777" w:rsidR="000C3208" w:rsidRDefault="000C3208"/>
          <w:p w14:paraId="17B08E2C" w14:textId="77777777" w:rsidR="000C3208" w:rsidRDefault="009E6A3C">
            <w:r>
              <w:t>Sheffield Music Hub</w:t>
            </w:r>
          </w:p>
        </w:tc>
      </w:tr>
      <w:tr w:rsidR="000C3208" w14:paraId="0196E68B" w14:textId="77777777">
        <w:tc>
          <w:tcPr>
            <w:tcW w:w="4519" w:type="dxa"/>
            <w:shd w:val="clear" w:color="auto" w:fill="FFFF00"/>
          </w:tcPr>
          <w:p w14:paraId="3347F713" w14:textId="77777777" w:rsidR="000C3208" w:rsidRDefault="000C3208"/>
          <w:p w14:paraId="6ADE5F0E" w14:textId="77777777" w:rsidR="000C3208" w:rsidRDefault="009E6A3C">
            <w:r>
              <w:t xml:space="preserve">[INSERT PARTY TO THE AGREEMENT] </w:t>
            </w:r>
          </w:p>
          <w:p w14:paraId="6FF17D0A" w14:textId="77777777" w:rsidR="000C3208" w:rsidRDefault="009E6A3C">
            <w:pPr>
              <w:rPr>
                <w:i/>
              </w:rPr>
            </w:pPr>
            <w:r>
              <w:rPr>
                <w:i/>
              </w:rPr>
              <w:t>insert additional lines if required</w:t>
            </w:r>
          </w:p>
          <w:p w14:paraId="1E56EAA3" w14:textId="77777777" w:rsidR="000C3208" w:rsidRDefault="000C3208"/>
        </w:tc>
        <w:tc>
          <w:tcPr>
            <w:tcW w:w="4497" w:type="dxa"/>
            <w:shd w:val="clear" w:color="auto" w:fill="FFFF00"/>
          </w:tcPr>
          <w:p w14:paraId="07742864" w14:textId="77777777" w:rsidR="000C3208" w:rsidRDefault="000C3208"/>
          <w:p w14:paraId="0E3E2826" w14:textId="77777777" w:rsidR="000C3208" w:rsidRDefault="009E6A3C">
            <w:r>
              <w:t>School Name</w:t>
            </w:r>
          </w:p>
        </w:tc>
      </w:tr>
    </w:tbl>
    <w:p w14:paraId="15170078" w14:textId="77777777" w:rsidR="000C3208" w:rsidRDefault="000C3208">
      <w:pPr>
        <w:pStyle w:val="Heading3"/>
      </w:pPr>
    </w:p>
    <w:p w14:paraId="2E79C83F" w14:textId="77777777" w:rsidR="000C3208" w:rsidRDefault="000C3208">
      <w:pPr>
        <w:rPr>
          <w:rFonts w:ascii="Cambria" w:eastAsia="Cambria" w:hAnsi="Cambria" w:cs="Cambria"/>
          <w:b/>
          <w:color w:val="4F81BD"/>
        </w:rPr>
      </w:pPr>
    </w:p>
    <w:p w14:paraId="1103F743" w14:textId="77777777" w:rsidR="000C3208" w:rsidRDefault="009E6A3C">
      <w:pPr>
        <w:pStyle w:val="Heading3"/>
      </w:pPr>
      <w:bookmarkStart w:id="11" w:name="_heading=h.3rdcrjn" w:colFirst="0" w:colLast="0"/>
      <w:bookmarkEnd w:id="11"/>
      <w:r>
        <w:t>Information to be Shared</w:t>
      </w:r>
    </w:p>
    <w:p w14:paraId="6031836B" w14:textId="77777777" w:rsidR="000C3208" w:rsidRDefault="000C3208"/>
    <w:p w14:paraId="668B794C" w14:textId="77777777" w:rsidR="000C3208" w:rsidRDefault="009E6A3C">
      <w:pPr>
        <w:rPr>
          <w:rFonts w:ascii="Arial" w:eastAsia="Arial" w:hAnsi="Arial" w:cs="Arial"/>
          <w:b/>
          <w:sz w:val="24"/>
          <w:szCs w:val="24"/>
        </w:rPr>
      </w:pPr>
      <w:r>
        <w:rPr>
          <w:rFonts w:ascii="Arial" w:eastAsia="Arial" w:hAnsi="Arial" w:cs="Arial"/>
          <w:b/>
          <w:sz w:val="24"/>
          <w:szCs w:val="24"/>
        </w:rPr>
        <w:t>This information is the minimum necessary to achieve the purpose of the sharing.</w:t>
      </w:r>
    </w:p>
    <w:p w14:paraId="0FB93D77" w14:textId="77777777" w:rsidR="000C3208" w:rsidRDefault="009E6A3C">
      <w:pPr>
        <w:spacing w:after="0"/>
        <w:rPr>
          <w:rFonts w:ascii="Arial" w:eastAsia="Arial" w:hAnsi="Arial" w:cs="Arial"/>
          <w:b/>
          <w:sz w:val="24"/>
          <w:szCs w:val="24"/>
        </w:rPr>
      </w:pPr>
      <w:r>
        <w:rPr>
          <w:rFonts w:ascii="Arial" w:eastAsia="Arial" w:hAnsi="Arial" w:cs="Arial"/>
          <w:b/>
          <w:sz w:val="24"/>
          <w:szCs w:val="24"/>
        </w:rPr>
        <w:t xml:space="preserve">and is considered “Special Category Data” under Article 9(1) of the General Data Protection Regulation*. </w:t>
      </w:r>
    </w:p>
    <w:p w14:paraId="5077C470" w14:textId="77777777" w:rsidR="000C3208" w:rsidRDefault="000C3208">
      <w:pPr>
        <w:spacing w:after="0"/>
        <w:rPr>
          <w:b/>
        </w:rPr>
      </w:pPr>
    </w:p>
    <w:p w14:paraId="1DB7DE19" w14:textId="77777777" w:rsidR="000C3208" w:rsidRDefault="009E6A3C">
      <w:pPr>
        <w:rPr>
          <w:rFonts w:ascii="Arial" w:eastAsia="Arial" w:hAnsi="Arial" w:cs="Arial"/>
          <w:b/>
          <w:sz w:val="24"/>
          <w:szCs w:val="24"/>
        </w:rPr>
      </w:pPr>
      <w:r>
        <w:rPr>
          <w:rFonts w:ascii="Arial" w:eastAsia="Arial" w:hAnsi="Arial" w:cs="Arial"/>
          <w:b/>
          <w:sz w:val="24"/>
          <w:szCs w:val="24"/>
        </w:rPr>
        <w:t>Any medical condition which we would need to be aware of as we are regularly the sole responsible</w:t>
      </w:r>
    </w:p>
    <w:p w14:paraId="31D01DA7" w14:textId="77777777" w:rsidR="000C3208" w:rsidRDefault="009E6A3C">
      <w:pPr>
        <w:numPr>
          <w:ilvl w:val="0"/>
          <w:numId w:val="1"/>
        </w:numPr>
        <w:rPr>
          <w:rFonts w:ascii="Arial" w:eastAsia="Arial" w:hAnsi="Arial" w:cs="Arial"/>
          <w:b/>
          <w:sz w:val="24"/>
          <w:szCs w:val="24"/>
        </w:rPr>
      </w:pPr>
      <w:r>
        <w:rPr>
          <w:rFonts w:ascii="Arial" w:eastAsia="Arial" w:hAnsi="Arial" w:cs="Arial"/>
          <w:b/>
          <w:sz w:val="24"/>
          <w:szCs w:val="24"/>
        </w:rPr>
        <w:t xml:space="preserve"> epilepsy, asthma, diabetes</w:t>
      </w:r>
    </w:p>
    <w:p w14:paraId="180E6ED4" w14:textId="77777777" w:rsidR="000C3208" w:rsidRDefault="009E6A3C">
      <w:pPr>
        <w:rPr>
          <w:rFonts w:ascii="Arial" w:eastAsia="Arial" w:hAnsi="Arial" w:cs="Arial"/>
          <w:b/>
          <w:sz w:val="24"/>
          <w:szCs w:val="24"/>
        </w:rPr>
      </w:pPr>
      <w:r>
        <w:rPr>
          <w:rFonts w:ascii="Arial" w:eastAsia="Arial" w:hAnsi="Arial" w:cs="Arial"/>
          <w:b/>
          <w:sz w:val="24"/>
          <w:szCs w:val="24"/>
        </w:rPr>
        <w:t xml:space="preserve">Anything that would put the child on the SEN (Special Educational Needs) register </w:t>
      </w:r>
    </w:p>
    <w:p w14:paraId="7CBE88B6" w14:textId="77777777" w:rsidR="000C3208" w:rsidRDefault="009E6A3C">
      <w:pPr>
        <w:numPr>
          <w:ilvl w:val="0"/>
          <w:numId w:val="7"/>
        </w:numPr>
        <w:rPr>
          <w:rFonts w:ascii="Arial" w:eastAsia="Arial" w:hAnsi="Arial" w:cs="Arial"/>
          <w:b/>
          <w:sz w:val="24"/>
          <w:szCs w:val="24"/>
        </w:rPr>
      </w:pPr>
      <w:r>
        <w:rPr>
          <w:rFonts w:ascii="Arial" w:eastAsia="Arial" w:hAnsi="Arial" w:cs="Arial"/>
          <w:b/>
          <w:sz w:val="24"/>
          <w:szCs w:val="24"/>
        </w:rPr>
        <w:t>so that we can make any adaptations to planning/instruments in advance</w:t>
      </w:r>
    </w:p>
    <w:p w14:paraId="348FBC2F" w14:textId="77777777" w:rsidR="000C3208" w:rsidRDefault="009E6A3C">
      <w:pPr>
        <w:rPr>
          <w:rFonts w:ascii="Arial" w:eastAsia="Arial" w:hAnsi="Arial" w:cs="Arial"/>
          <w:b/>
          <w:sz w:val="24"/>
          <w:szCs w:val="24"/>
        </w:rPr>
      </w:pPr>
      <w:r>
        <w:rPr>
          <w:rFonts w:ascii="Arial" w:eastAsia="Arial" w:hAnsi="Arial" w:cs="Arial"/>
          <w:b/>
          <w:sz w:val="24"/>
          <w:szCs w:val="24"/>
        </w:rPr>
        <w:t xml:space="preserve">Any children who are EAL (English as an Additional Language) </w:t>
      </w:r>
    </w:p>
    <w:p w14:paraId="0933198A" w14:textId="77777777" w:rsidR="000C3208" w:rsidRDefault="009E6A3C">
      <w:pPr>
        <w:numPr>
          <w:ilvl w:val="0"/>
          <w:numId w:val="8"/>
        </w:numPr>
        <w:rPr>
          <w:rFonts w:ascii="Arial" w:eastAsia="Arial" w:hAnsi="Arial" w:cs="Arial"/>
          <w:b/>
          <w:sz w:val="24"/>
          <w:szCs w:val="24"/>
        </w:rPr>
      </w:pPr>
      <w:r>
        <w:rPr>
          <w:rFonts w:ascii="Arial" w:eastAsia="Arial" w:hAnsi="Arial" w:cs="Arial"/>
          <w:b/>
          <w:sz w:val="24"/>
          <w:szCs w:val="24"/>
        </w:rPr>
        <w:t>to adapt our teaching</w:t>
      </w:r>
    </w:p>
    <w:p w14:paraId="08677B08" w14:textId="77777777" w:rsidR="000C3208" w:rsidRDefault="009E6A3C">
      <w:pPr>
        <w:rPr>
          <w:rFonts w:ascii="Arial" w:eastAsia="Arial" w:hAnsi="Arial" w:cs="Arial"/>
          <w:b/>
          <w:sz w:val="24"/>
          <w:szCs w:val="24"/>
        </w:rPr>
      </w:pPr>
      <w:r>
        <w:rPr>
          <w:rFonts w:ascii="Arial" w:eastAsia="Arial" w:hAnsi="Arial" w:cs="Arial"/>
          <w:b/>
          <w:sz w:val="24"/>
          <w:szCs w:val="24"/>
        </w:rPr>
        <w:t xml:space="preserve">Any child who is classed as CLA (Children Looked After) </w:t>
      </w:r>
    </w:p>
    <w:p w14:paraId="04E7A8B8" w14:textId="77777777" w:rsidR="000C3208" w:rsidRDefault="009E6A3C">
      <w:pPr>
        <w:numPr>
          <w:ilvl w:val="0"/>
          <w:numId w:val="3"/>
        </w:numPr>
        <w:rPr>
          <w:rFonts w:ascii="Arial" w:eastAsia="Arial" w:hAnsi="Arial" w:cs="Arial"/>
          <w:b/>
          <w:sz w:val="24"/>
          <w:szCs w:val="24"/>
        </w:rPr>
      </w:pPr>
      <w:r>
        <w:rPr>
          <w:rFonts w:ascii="Arial" w:eastAsia="Arial" w:hAnsi="Arial" w:cs="Arial"/>
          <w:b/>
          <w:sz w:val="24"/>
          <w:szCs w:val="24"/>
        </w:rPr>
        <w:t>so that we can be cautious with questions/use of language/approach to teaching - we will only need limited, need to know information that is appropriate to be shared with us that could affect their learning.</w:t>
      </w:r>
    </w:p>
    <w:p w14:paraId="464040E8" w14:textId="77777777" w:rsidR="000C3208" w:rsidRDefault="009E6A3C">
      <w:pPr>
        <w:rPr>
          <w:rFonts w:ascii="Arial" w:eastAsia="Arial" w:hAnsi="Arial" w:cs="Arial"/>
          <w:b/>
          <w:sz w:val="24"/>
          <w:szCs w:val="24"/>
        </w:rPr>
      </w:pPr>
      <w:r>
        <w:rPr>
          <w:rFonts w:ascii="Arial" w:eastAsia="Arial" w:hAnsi="Arial" w:cs="Arial"/>
          <w:b/>
          <w:sz w:val="24"/>
          <w:szCs w:val="24"/>
        </w:rPr>
        <w:lastRenderedPageBreak/>
        <w:t xml:space="preserve">Any religious circumstance that would require us to change our teaching </w:t>
      </w:r>
    </w:p>
    <w:p w14:paraId="2A06E89D" w14:textId="77777777" w:rsidR="000C3208" w:rsidRDefault="009E6A3C">
      <w:pPr>
        <w:numPr>
          <w:ilvl w:val="0"/>
          <w:numId w:val="5"/>
        </w:numPr>
        <w:rPr>
          <w:rFonts w:ascii="Arial" w:eastAsia="Arial" w:hAnsi="Arial" w:cs="Arial"/>
          <w:b/>
          <w:sz w:val="24"/>
          <w:szCs w:val="24"/>
        </w:rPr>
      </w:pPr>
      <w:proofErr w:type="spellStart"/>
      <w:proofErr w:type="gramStart"/>
      <w:r>
        <w:rPr>
          <w:rFonts w:ascii="Arial" w:eastAsia="Arial" w:hAnsi="Arial" w:cs="Arial"/>
          <w:b/>
          <w:sz w:val="24"/>
          <w:szCs w:val="24"/>
        </w:rPr>
        <w:t>ie</w:t>
      </w:r>
      <w:proofErr w:type="spellEnd"/>
      <w:proofErr w:type="gramEnd"/>
      <w:r>
        <w:rPr>
          <w:rFonts w:ascii="Arial" w:eastAsia="Arial" w:hAnsi="Arial" w:cs="Arial"/>
          <w:b/>
          <w:sz w:val="24"/>
          <w:szCs w:val="24"/>
        </w:rPr>
        <w:t xml:space="preserve"> Jehovah’s Witnesses can’t do any piece of music related to celebrations so no Happy Birthday, Hot Cross Buns, Christmas songs</w:t>
      </w:r>
    </w:p>
    <w:p w14:paraId="66168AD3" w14:textId="77777777" w:rsidR="000C3208" w:rsidRDefault="009E6A3C">
      <w:pPr>
        <w:rPr>
          <w:rFonts w:ascii="Arial" w:eastAsia="Arial" w:hAnsi="Arial" w:cs="Arial"/>
          <w:b/>
          <w:sz w:val="24"/>
          <w:szCs w:val="24"/>
        </w:rPr>
      </w:pPr>
      <w:r>
        <w:rPr>
          <w:rFonts w:ascii="Arial" w:eastAsia="Arial" w:hAnsi="Arial" w:cs="Arial"/>
          <w:b/>
          <w:sz w:val="24"/>
          <w:szCs w:val="24"/>
        </w:rPr>
        <w:t xml:space="preserve">Any child who has had a recent change in circumstance that may affect their behaviour/learning </w:t>
      </w:r>
    </w:p>
    <w:p w14:paraId="09D8BEE9" w14:textId="77777777" w:rsidR="000C3208" w:rsidRDefault="009E6A3C">
      <w:pPr>
        <w:numPr>
          <w:ilvl w:val="0"/>
          <w:numId w:val="4"/>
        </w:numPr>
        <w:rPr>
          <w:rFonts w:ascii="Arial" w:eastAsia="Arial" w:hAnsi="Arial" w:cs="Arial"/>
          <w:b/>
          <w:sz w:val="24"/>
          <w:szCs w:val="24"/>
        </w:rPr>
      </w:pPr>
      <w:r>
        <w:rPr>
          <w:rFonts w:ascii="Arial" w:eastAsia="Arial" w:hAnsi="Arial" w:cs="Arial"/>
          <w:b/>
          <w:sz w:val="24"/>
          <w:szCs w:val="24"/>
        </w:rPr>
        <w:t>such as change in family circumstances/bereavement</w:t>
      </w:r>
    </w:p>
    <w:p w14:paraId="5B20A697" w14:textId="77777777" w:rsidR="000C3208" w:rsidRDefault="009E6A3C">
      <w:pPr>
        <w:rPr>
          <w:rFonts w:ascii="Arial" w:eastAsia="Arial" w:hAnsi="Arial" w:cs="Arial"/>
          <w:b/>
          <w:sz w:val="24"/>
          <w:szCs w:val="24"/>
        </w:rPr>
      </w:pPr>
      <w:r>
        <w:rPr>
          <w:rFonts w:ascii="Arial" w:eastAsia="Arial" w:hAnsi="Arial" w:cs="Arial"/>
          <w:b/>
          <w:sz w:val="24"/>
          <w:szCs w:val="24"/>
        </w:rPr>
        <w:t>Any information around gender identity.</w:t>
      </w:r>
    </w:p>
    <w:p w14:paraId="0EA3E6AB" w14:textId="77777777" w:rsidR="000C3208" w:rsidRDefault="009E6A3C">
      <w:pPr>
        <w:numPr>
          <w:ilvl w:val="0"/>
          <w:numId w:val="9"/>
        </w:numPr>
        <w:rPr>
          <w:rFonts w:ascii="Arial" w:eastAsia="Arial" w:hAnsi="Arial" w:cs="Arial"/>
          <w:b/>
          <w:sz w:val="24"/>
          <w:szCs w:val="24"/>
        </w:rPr>
      </w:pPr>
      <w:r>
        <w:rPr>
          <w:rFonts w:ascii="Arial" w:eastAsia="Arial" w:hAnsi="Arial" w:cs="Arial"/>
          <w:b/>
          <w:sz w:val="24"/>
          <w:szCs w:val="24"/>
        </w:rPr>
        <w:t>To support with appropriate dignity and respect</w:t>
      </w:r>
    </w:p>
    <w:p w14:paraId="40D4F29B" w14:textId="77777777" w:rsidR="000C3208" w:rsidRDefault="009E6A3C">
      <w:pPr>
        <w:rPr>
          <w:rFonts w:ascii="Arial" w:eastAsia="Arial" w:hAnsi="Arial" w:cs="Arial"/>
          <w:b/>
          <w:sz w:val="24"/>
          <w:szCs w:val="24"/>
        </w:rPr>
      </w:pPr>
      <w:r>
        <w:rPr>
          <w:rFonts w:ascii="Arial" w:eastAsia="Arial" w:hAnsi="Arial" w:cs="Arial"/>
          <w:b/>
          <w:sz w:val="24"/>
          <w:szCs w:val="24"/>
        </w:rPr>
        <w:t xml:space="preserve">Any physical condition that would affect the ability to master the learning of a particular instrument </w:t>
      </w:r>
    </w:p>
    <w:p w14:paraId="446BFEE6" w14:textId="77777777" w:rsidR="000C3208" w:rsidRDefault="009E6A3C">
      <w:pPr>
        <w:numPr>
          <w:ilvl w:val="0"/>
          <w:numId w:val="6"/>
        </w:numPr>
        <w:rPr>
          <w:rFonts w:ascii="Arial" w:eastAsia="Arial" w:hAnsi="Arial" w:cs="Arial"/>
          <w:b/>
          <w:sz w:val="24"/>
          <w:szCs w:val="24"/>
        </w:rPr>
      </w:pPr>
      <w:r>
        <w:rPr>
          <w:rFonts w:ascii="Arial" w:eastAsia="Arial" w:hAnsi="Arial" w:cs="Arial"/>
          <w:b/>
          <w:sz w:val="24"/>
          <w:szCs w:val="24"/>
        </w:rPr>
        <w:t>require it to be adapted.</w:t>
      </w:r>
    </w:p>
    <w:p w14:paraId="7E1E882E" w14:textId="77777777" w:rsidR="000C3208" w:rsidRDefault="000C3208">
      <w:pPr>
        <w:pStyle w:val="Heading3"/>
        <w:rPr>
          <w:rFonts w:ascii="Calibri" w:eastAsia="Calibri" w:hAnsi="Calibri" w:cs="Calibri"/>
          <w:b w:val="0"/>
          <w:color w:val="000000"/>
        </w:rPr>
      </w:pPr>
      <w:bookmarkStart w:id="12" w:name="_heading=h.26in1rg" w:colFirst="0" w:colLast="0"/>
      <w:bookmarkEnd w:id="12"/>
    </w:p>
    <w:p w14:paraId="745B499D" w14:textId="77777777" w:rsidR="000C3208" w:rsidRDefault="009E6A3C">
      <w:pPr>
        <w:pStyle w:val="Heading3"/>
      </w:pPr>
      <w:bookmarkStart w:id="13" w:name="_heading=h.z26hesyklquv" w:colFirst="0" w:colLast="0"/>
      <w:bookmarkEnd w:id="13"/>
      <w:r>
        <w:t>Data Protection Legal Basis for Sharing the Information</w:t>
      </w:r>
    </w:p>
    <w:p w14:paraId="6D240471" w14:textId="77777777" w:rsidR="000C3208" w:rsidRDefault="009E6A3C">
      <w:r>
        <w:t>The information being shared under this agreement is being done so under the General Data Protection Regulation and Data Protection Act 2018.</w:t>
      </w:r>
    </w:p>
    <w:p w14:paraId="19CB5F5C" w14:textId="77777777" w:rsidR="000C3208" w:rsidRDefault="009E6A3C">
      <w:pPr>
        <w:rPr>
          <w:i/>
        </w:rPr>
      </w:pPr>
      <w:r>
        <w:rPr>
          <w:i/>
          <w:highlight w:val="yellow"/>
        </w:rPr>
        <w:t>[For Personal data that is not Special Category use the following text and table]</w:t>
      </w:r>
    </w:p>
    <w:p w14:paraId="2A160D16" w14:textId="77777777" w:rsidR="000C3208" w:rsidRDefault="009E6A3C">
      <w:r>
        <w:t xml:space="preserve">To share “personal data” as defined in the General Data Protection Regulation, there must be at least one lawful basis under </w:t>
      </w:r>
      <w:hyperlink r:id="rId7">
        <w:r>
          <w:rPr>
            <w:color w:val="000000"/>
            <w:u w:val="single"/>
          </w:rPr>
          <w:t>Article 6</w:t>
        </w:r>
      </w:hyperlink>
      <w:r>
        <w:t xml:space="preserve"> for doing so.  The lawful basis applicable to this Information Sharing and this Agreement is: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8"/>
        <w:gridCol w:w="4106"/>
        <w:gridCol w:w="3682"/>
      </w:tblGrid>
      <w:tr w:rsidR="000C3208" w14:paraId="1648C479" w14:textId="77777777">
        <w:tc>
          <w:tcPr>
            <w:tcW w:w="1228" w:type="dxa"/>
          </w:tcPr>
          <w:p w14:paraId="2B00D577" w14:textId="77777777" w:rsidR="000C3208" w:rsidRDefault="009E6A3C">
            <w:pPr>
              <w:pStyle w:val="Heading3"/>
            </w:pPr>
            <w:bookmarkStart w:id="14" w:name="_heading=h.lnxbz9" w:colFirst="0" w:colLast="0"/>
            <w:bookmarkEnd w:id="14"/>
            <w:r>
              <w:t>Article 6</w:t>
            </w:r>
          </w:p>
          <w:p w14:paraId="5A0A1337" w14:textId="77777777" w:rsidR="000C3208" w:rsidRDefault="000C3208"/>
        </w:tc>
        <w:tc>
          <w:tcPr>
            <w:tcW w:w="4106" w:type="dxa"/>
          </w:tcPr>
          <w:p w14:paraId="4F900EC7" w14:textId="77777777" w:rsidR="000C3208" w:rsidRDefault="009E6A3C">
            <w:pPr>
              <w:pStyle w:val="Heading3"/>
            </w:pPr>
            <w:bookmarkStart w:id="15" w:name="_heading=h.35nkun2" w:colFirst="0" w:colLast="0"/>
            <w:bookmarkEnd w:id="15"/>
            <w:r>
              <w:t>Lawfulness of processing</w:t>
            </w:r>
          </w:p>
        </w:tc>
        <w:tc>
          <w:tcPr>
            <w:tcW w:w="3682" w:type="dxa"/>
          </w:tcPr>
          <w:p w14:paraId="6493D46A" w14:textId="77777777" w:rsidR="000C3208" w:rsidRDefault="009E6A3C">
            <w:pPr>
              <w:pStyle w:val="Heading3"/>
            </w:pPr>
            <w:bookmarkStart w:id="16" w:name="_heading=h.1ksv4uv" w:colFirst="0" w:colLast="0"/>
            <w:bookmarkEnd w:id="16"/>
            <w:r>
              <w:t>Explanatory text</w:t>
            </w:r>
          </w:p>
        </w:tc>
      </w:tr>
    </w:tbl>
    <w:tbl>
      <w:tblPr>
        <w:tblW w:w="9015" w:type="dxa"/>
        <w:tblCellMar>
          <w:left w:w="0" w:type="dxa"/>
          <w:right w:w="0" w:type="dxa"/>
        </w:tblCellMar>
        <w:tblLook w:val="04A0" w:firstRow="1" w:lastRow="0" w:firstColumn="1" w:lastColumn="0" w:noHBand="0" w:noVBand="1"/>
      </w:tblPr>
      <w:tblGrid>
        <w:gridCol w:w="1228"/>
        <w:gridCol w:w="4105"/>
        <w:gridCol w:w="3682"/>
      </w:tblGrid>
      <w:tr w:rsidR="00AF5771" w14:paraId="184874D7" w14:textId="77777777" w:rsidTr="00AF5771">
        <w:tc>
          <w:tcPr>
            <w:tcW w:w="12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FEE614" w14:textId="77777777" w:rsidR="00AF5771" w:rsidRDefault="00AF5771">
            <w:r>
              <w:t>(1)(e)</w:t>
            </w:r>
          </w:p>
        </w:tc>
        <w:tc>
          <w:tcPr>
            <w:tcW w:w="4105" w:type="dxa"/>
            <w:tcBorders>
              <w:top w:val="nil"/>
              <w:left w:val="nil"/>
              <w:bottom w:val="single" w:sz="8" w:space="0" w:color="000000"/>
              <w:right w:val="single" w:sz="8" w:space="0" w:color="000000"/>
            </w:tcBorders>
            <w:tcMar>
              <w:top w:w="0" w:type="dxa"/>
              <w:left w:w="108" w:type="dxa"/>
              <w:bottom w:w="0" w:type="dxa"/>
              <w:right w:w="108" w:type="dxa"/>
            </w:tcMar>
          </w:tcPr>
          <w:p w14:paraId="2CCD74E5" w14:textId="77777777" w:rsidR="00AF5771" w:rsidRDefault="00AF5771">
            <w:pPr>
              <w:shd w:val="clear" w:color="auto" w:fill="FFFFFF"/>
              <w:spacing w:before="240" w:after="240"/>
              <w:textAlignment w:val="baseline"/>
              <w:rPr>
                <w:rFonts w:ascii="inherit" w:hAnsi="inherit"/>
                <w:color w:val="333333"/>
                <w:sz w:val="24"/>
                <w:szCs w:val="24"/>
              </w:rPr>
            </w:pPr>
            <w:r>
              <w:rPr>
                <w:rFonts w:ascii="inherit" w:hAnsi="inherit"/>
                <w:color w:val="333333"/>
                <w:sz w:val="24"/>
                <w:szCs w:val="24"/>
              </w:rPr>
              <w:t xml:space="preserve">processing is necessary for the performance of a task carried out in the public interest or in the exercise of official authority vested in the </w:t>
            </w:r>
            <w:proofErr w:type="gramStart"/>
            <w:r>
              <w:rPr>
                <w:rFonts w:ascii="inherit" w:hAnsi="inherit"/>
                <w:color w:val="333333"/>
                <w:sz w:val="24"/>
                <w:szCs w:val="24"/>
              </w:rPr>
              <w:t>controller;</w:t>
            </w:r>
            <w:proofErr w:type="gramEnd"/>
          </w:p>
          <w:p w14:paraId="610A30C2" w14:textId="77777777" w:rsidR="00AF5771" w:rsidRDefault="00AF5771">
            <w:pPr>
              <w:rPr>
                <w:i/>
                <w:iCs/>
                <w:lang w:eastAsia="en-US"/>
              </w:rPr>
            </w:pPr>
          </w:p>
        </w:tc>
        <w:tc>
          <w:tcPr>
            <w:tcW w:w="3682" w:type="dxa"/>
            <w:tcBorders>
              <w:top w:val="nil"/>
              <w:left w:val="nil"/>
              <w:bottom w:val="single" w:sz="8" w:space="0" w:color="000000"/>
              <w:right w:val="single" w:sz="8" w:space="0" w:color="000000"/>
            </w:tcBorders>
            <w:tcMar>
              <w:top w:w="0" w:type="dxa"/>
              <w:left w:w="108" w:type="dxa"/>
              <w:bottom w:w="0" w:type="dxa"/>
              <w:right w:w="108" w:type="dxa"/>
            </w:tcMar>
          </w:tcPr>
          <w:p w14:paraId="5EFD6BD3" w14:textId="77777777" w:rsidR="00AF5771" w:rsidRDefault="00AF5771"/>
          <w:p w14:paraId="3B1E6654" w14:textId="77777777" w:rsidR="00AF5771" w:rsidRDefault="00AF5771">
            <w:r>
              <w:t>Sheffield City Council through Sheffield Music Hub provides opportunities for every child in Sheffield to get the best music education</w:t>
            </w:r>
          </w:p>
        </w:tc>
      </w:tr>
    </w:tbl>
    <w:p w14:paraId="238F88C8" w14:textId="77777777" w:rsidR="000C3208" w:rsidRDefault="000C3208"/>
    <w:p w14:paraId="547F219E" w14:textId="77777777" w:rsidR="000C3208" w:rsidRDefault="009E6A3C">
      <w:pPr>
        <w:rPr>
          <w:i/>
        </w:rPr>
      </w:pPr>
      <w:r>
        <w:rPr>
          <w:i/>
          <w:highlight w:val="yellow"/>
        </w:rPr>
        <w:t>[For Special Category Data use the text and table below and delete the above]</w:t>
      </w:r>
    </w:p>
    <w:p w14:paraId="2C3996BF" w14:textId="77777777" w:rsidR="000C3208" w:rsidRDefault="009E6A3C">
      <w:r>
        <w:t>To share “</w:t>
      </w:r>
      <w:hyperlink r:id="rId8">
        <w:r>
          <w:rPr>
            <w:color w:val="000000"/>
            <w:u w:val="single"/>
          </w:rPr>
          <w:t>Special Category</w:t>
        </w:r>
      </w:hyperlink>
      <w:r>
        <w:t xml:space="preserve">” personal data as defined in the General Data Protection Regulation, there must be at least one lawful basis under </w:t>
      </w:r>
      <w:hyperlink r:id="rId9">
        <w:r>
          <w:rPr>
            <w:color w:val="000000"/>
            <w:u w:val="single"/>
          </w:rPr>
          <w:t>Article 9</w:t>
        </w:r>
      </w:hyperlink>
      <w:r>
        <w:t xml:space="preserve"> for doing so.  The lawful basis applicable to this Information Sharing and this Agreement is:</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8"/>
        <w:gridCol w:w="4106"/>
        <w:gridCol w:w="3682"/>
      </w:tblGrid>
      <w:tr w:rsidR="000C3208" w14:paraId="44D8BB5E" w14:textId="77777777">
        <w:tc>
          <w:tcPr>
            <w:tcW w:w="1228" w:type="dxa"/>
          </w:tcPr>
          <w:p w14:paraId="3858E9E4" w14:textId="77777777" w:rsidR="000C3208" w:rsidRDefault="009E6A3C">
            <w:pPr>
              <w:pStyle w:val="Heading3"/>
            </w:pPr>
            <w:bookmarkStart w:id="17" w:name="_heading=h.44sinio" w:colFirst="0" w:colLast="0"/>
            <w:bookmarkEnd w:id="17"/>
            <w:r>
              <w:lastRenderedPageBreak/>
              <w:t>Article 9</w:t>
            </w:r>
          </w:p>
          <w:p w14:paraId="461194C3" w14:textId="77777777" w:rsidR="000C3208" w:rsidRDefault="000C3208"/>
        </w:tc>
        <w:tc>
          <w:tcPr>
            <w:tcW w:w="4106" w:type="dxa"/>
          </w:tcPr>
          <w:p w14:paraId="2B84DAE0" w14:textId="77777777" w:rsidR="000C3208" w:rsidRDefault="009E6A3C">
            <w:pPr>
              <w:pStyle w:val="Heading3"/>
            </w:pPr>
            <w:bookmarkStart w:id="18" w:name="_heading=h.2jxsxqh" w:colFirst="0" w:colLast="0"/>
            <w:bookmarkEnd w:id="18"/>
            <w:r>
              <w:t>Lawfulness of processing</w:t>
            </w:r>
          </w:p>
        </w:tc>
        <w:tc>
          <w:tcPr>
            <w:tcW w:w="3682" w:type="dxa"/>
          </w:tcPr>
          <w:p w14:paraId="22CD9BA5" w14:textId="77777777" w:rsidR="000C3208" w:rsidRDefault="009E6A3C">
            <w:pPr>
              <w:pStyle w:val="Heading3"/>
            </w:pPr>
            <w:bookmarkStart w:id="19" w:name="_heading=h.z337ya" w:colFirst="0" w:colLast="0"/>
            <w:bookmarkEnd w:id="19"/>
            <w:r>
              <w:t>Explanatory text</w:t>
            </w:r>
          </w:p>
        </w:tc>
      </w:tr>
    </w:tbl>
    <w:tbl>
      <w:tblPr>
        <w:tblW w:w="9015" w:type="dxa"/>
        <w:tblCellMar>
          <w:left w:w="0" w:type="dxa"/>
          <w:right w:w="0" w:type="dxa"/>
        </w:tblCellMar>
        <w:tblLook w:val="04A0" w:firstRow="1" w:lastRow="0" w:firstColumn="1" w:lastColumn="0" w:noHBand="0" w:noVBand="1"/>
      </w:tblPr>
      <w:tblGrid>
        <w:gridCol w:w="1227"/>
        <w:gridCol w:w="4106"/>
        <w:gridCol w:w="3682"/>
      </w:tblGrid>
      <w:tr w:rsidR="00D27CDD" w14:paraId="431705CF" w14:textId="77777777" w:rsidTr="00D27CDD">
        <w:tc>
          <w:tcPr>
            <w:tcW w:w="12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661621" w14:textId="77777777" w:rsidR="00D27CDD" w:rsidRDefault="00D27CDD">
            <w:r>
              <w:t>(2)(g)</w:t>
            </w:r>
          </w:p>
        </w:tc>
        <w:tc>
          <w:tcPr>
            <w:tcW w:w="4106" w:type="dxa"/>
            <w:tcBorders>
              <w:top w:val="nil"/>
              <w:left w:val="nil"/>
              <w:bottom w:val="single" w:sz="8" w:space="0" w:color="000000"/>
              <w:right w:val="single" w:sz="8" w:space="0" w:color="000000"/>
            </w:tcBorders>
            <w:tcMar>
              <w:top w:w="0" w:type="dxa"/>
              <w:left w:w="108" w:type="dxa"/>
              <w:bottom w:w="0" w:type="dxa"/>
              <w:right w:w="108" w:type="dxa"/>
            </w:tcMar>
          </w:tcPr>
          <w:p w14:paraId="2A6BABC8" w14:textId="77777777" w:rsidR="00D27CDD" w:rsidRDefault="00D27CDD">
            <w:pPr>
              <w:shd w:val="clear" w:color="auto" w:fill="FFFFFF"/>
              <w:spacing w:before="240" w:after="240"/>
              <w:textAlignment w:val="baseline"/>
              <w:rPr>
                <w:rFonts w:ascii="inherit" w:hAnsi="inherit"/>
                <w:color w:val="333333"/>
                <w:sz w:val="24"/>
                <w:szCs w:val="24"/>
              </w:rPr>
            </w:pPr>
            <w:r>
              <w:rPr>
                <w:rFonts w:ascii="inherit" w:hAnsi="inherit"/>
                <w:color w:val="333333"/>
                <w:sz w:val="24"/>
                <w:szCs w:val="24"/>
              </w:rPr>
              <w:t xml:space="preserve">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rPr>
                <w:rFonts w:ascii="inherit" w:hAnsi="inherit"/>
                <w:color w:val="333333"/>
                <w:sz w:val="24"/>
                <w:szCs w:val="24"/>
              </w:rPr>
              <w:t>subject;</w:t>
            </w:r>
            <w:proofErr w:type="gramEnd"/>
          </w:p>
          <w:p w14:paraId="7FA9EF8B" w14:textId="77777777" w:rsidR="00D27CDD" w:rsidRDefault="00D27CDD">
            <w:pPr>
              <w:rPr>
                <w:i/>
                <w:iCs/>
                <w:lang w:eastAsia="en-US"/>
              </w:rPr>
            </w:pPr>
          </w:p>
        </w:tc>
        <w:tc>
          <w:tcPr>
            <w:tcW w:w="3682" w:type="dxa"/>
            <w:tcBorders>
              <w:top w:val="nil"/>
              <w:left w:val="nil"/>
              <w:bottom w:val="single" w:sz="8" w:space="0" w:color="000000"/>
              <w:right w:val="single" w:sz="8" w:space="0" w:color="000000"/>
            </w:tcBorders>
            <w:tcMar>
              <w:top w:w="0" w:type="dxa"/>
              <w:left w:w="108" w:type="dxa"/>
              <w:bottom w:w="0" w:type="dxa"/>
              <w:right w:w="108" w:type="dxa"/>
            </w:tcMar>
          </w:tcPr>
          <w:p w14:paraId="3557AA2C" w14:textId="77777777" w:rsidR="00D27CDD" w:rsidRDefault="00D27CDD"/>
          <w:p w14:paraId="7F282B6E" w14:textId="77777777" w:rsidR="00D27CDD" w:rsidRDefault="00D27CDD">
            <w:r>
              <w:t xml:space="preserve">Under Schedule 1 Part 2 (6) Statutory etc and government purposes of the Data Protection Act 2018, special category data is processed as part of the statutory duties Sheffield City Council is responsible for in relation to education. </w:t>
            </w:r>
          </w:p>
        </w:tc>
      </w:tr>
    </w:tbl>
    <w:p w14:paraId="41A5AE44" w14:textId="77777777" w:rsidR="000C3208" w:rsidRDefault="000C3208"/>
    <w:p w14:paraId="0C1B45A4" w14:textId="77777777" w:rsidR="000C3208" w:rsidRDefault="009E6A3C">
      <w:pPr>
        <w:pStyle w:val="Heading3"/>
      </w:pPr>
      <w:bookmarkStart w:id="20" w:name="_heading=h.3j2qqm3" w:colFirst="0" w:colLast="0"/>
      <w:bookmarkEnd w:id="20"/>
      <w:r>
        <w:t>Article 8 Human Rights Act 1998</w:t>
      </w:r>
    </w:p>
    <w:bookmarkStart w:id="21" w:name="_heading=h.1y810tw" w:colFirst="0" w:colLast="0"/>
    <w:bookmarkEnd w:id="21"/>
    <w:p w14:paraId="0D4B5D61" w14:textId="77777777" w:rsidR="000C3208" w:rsidRDefault="009E6A3C">
      <w:pPr>
        <w:pStyle w:val="Heading3"/>
        <w:rPr>
          <w:rFonts w:ascii="Calibri" w:eastAsia="Calibri" w:hAnsi="Calibri" w:cs="Calibri"/>
          <w:b w:val="0"/>
          <w:color w:val="000000"/>
        </w:rPr>
      </w:pPr>
      <w:r>
        <w:fldChar w:fldCharType="begin"/>
      </w:r>
      <w:r>
        <w:instrText xml:space="preserve"> HYPERLINK "https://www.legislation.gov.uk/ukpga/1998/42/contents" \h </w:instrText>
      </w:r>
      <w:r>
        <w:fldChar w:fldCharType="separate"/>
      </w:r>
      <w:r>
        <w:rPr>
          <w:rFonts w:ascii="Calibri" w:eastAsia="Calibri" w:hAnsi="Calibri" w:cs="Calibri"/>
          <w:b w:val="0"/>
          <w:color w:val="000000"/>
          <w:u w:val="single"/>
        </w:rPr>
        <w:t>Article 8 of the Human Rights Act 1998</w:t>
      </w:r>
      <w:r>
        <w:rPr>
          <w:rFonts w:ascii="Calibri" w:eastAsia="Calibri" w:hAnsi="Calibri" w:cs="Calibri"/>
          <w:b w:val="0"/>
          <w:color w:val="000000"/>
          <w:u w:val="single"/>
        </w:rPr>
        <w:fldChar w:fldCharType="end"/>
      </w:r>
      <w:r>
        <w:rPr>
          <w:rFonts w:ascii="Calibri" w:eastAsia="Calibri" w:hAnsi="Calibri" w:cs="Calibri"/>
          <w:b w:val="0"/>
          <w:color w:val="000000"/>
        </w:rPr>
        <w:t xml:space="preserve"> gives people the right to a private life, family life, </w:t>
      </w:r>
      <w:proofErr w:type="gramStart"/>
      <w:r>
        <w:rPr>
          <w:rFonts w:ascii="Calibri" w:eastAsia="Calibri" w:hAnsi="Calibri" w:cs="Calibri"/>
          <w:b w:val="0"/>
          <w:color w:val="000000"/>
        </w:rPr>
        <w:t>home</w:t>
      </w:r>
      <w:proofErr w:type="gramEnd"/>
      <w:r>
        <w:rPr>
          <w:rFonts w:ascii="Calibri" w:eastAsia="Calibri" w:hAnsi="Calibri" w:cs="Calibri"/>
          <w:b w:val="0"/>
          <w:color w:val="000000"/>
        </w:rPr>
        <w:t xml:space="preserve"> and correspondence. This right means that public authorities are not allowed to interfere with a person’s privacy, for example, by disclosing their personal information, unless it is </w:t>
      </w:r>
      <w:r>
        <w:rPr>
          <w:rFonts w:ascii="Calibri" w:eastAsia="Calibri" w:hAnsi="Calibri" w:cs="Calibri"/>
          <w:color w:val="000000"/>
        </w:rPr>
        <w:t xml:space="preserve">lawful, necessary </w:t>
      </w:r>
      <w:r>
        <w:rPr>
          <w:rFonts w:ascii="Calibri" w:eastAsia="Calibri" w:hAnsi="Calibri" w:cs="Calibri"/>
          <w:b w:val="0"/>
          <w:color w:val="000000"/>
        </w:rPr>
        <w:t xml:space="preserve">(in the public interest) and is for </w:t>
      </w:r>
      <w:r>
        <w:rPr>
          <w:rFonts w:ascii="Calibri" w:eastAsia="Calibri" w:hAnsi="Calibri" w:cs="Calibri"/>
          <w:color w:val="000000"/>
        </w:rPr>
        <w:t>a legitimate purpose</w:t>
      </w:r>
      <w:r>
        <w:rPr>
          <w:rFonts w:ascii="Calibri" w:eastAsia="Calibri" w:hAnsi="Calibri" w:cs="Calibri"/>
          <w:b w:val="0"/>
          <w:color w:val="000000"/>
        </w:rPr>
        <w:t xml:space="preserve"> such as public safety; protection of health or morals; rights and freedoms of others and prevention of disorder or crime. In such cases the </w:t>
      </w:r>
      <w:proofErr w:type="gramStart"/>
      <w:r>
        <w:rPr>
          <w:rFonts w:ascii="Calibri" w:eastAsia="Calibri" w:hAnsi="Calibri" w:cs="Calibri"/>
          <w:b w:val="0"/>
          <w:color w:val="000000"/>
        </w:rPr>
        <w:t>Public</w:t>
      </w:r>
      <w:proofErr w:type="gramEnd"/>
      <w:r>
        <w:rPr>
          <w:rFonts w:ascii="Calibri" w:eastAsia="Calibri" w:hAnsi="Calibri" w:cs="Calibri"/>
          <w:b w:val="0"/>
          <w:color w:val="000000"/>
        </w:rPr>
        <w:t xml:space="preserve"> interest in making the disclosure must outweigh the individual’s right to a private life.</w:t>
      </w:r>
    </w:p>
    <w:p w14:paraId="1F49F994" w14:textId="77777777" w:rsidR="000C3208" w:rsidRDefault="009E6A3C">
      <w:pPr>
        <w:pStyle w:val="Heading3"/>
        <w:spacing w:before="480"/>
        <w:rPr>
          <w:rFonts w:ascii="Calibri" w:eastAsia="Calibri" w:hAnsi="Calibri" w:cs="Calibri"/>
          <w:b w:val="0"/>
          <w:color w:val="000000"/>
        </w:rPr>
      </w:pPr>
      <w:bookmarkStart w:id="22" w:name="_heading=h.4i7ojhp" w:colFirst="0" w:colLast="0"/>
      <w:bookmarkEnd w:id="22"/>
      <w:r>
        <w:rPr>
          <w:rFonts w:ascii="Calibri" w:eastAsia="Calibri" w:hAnsi="Calibri" w:cs="Calibri"/>
          <w:b w:val="0"/>
          <w:color w:val="000000"/>
        </w:rPr>
        <w:t xml:space="preserve">Any sharing of information under this agreement will only be done where it is lawful, proportionate, </w:t>
      </w:r>
      <w:proofErr w:type="gramStart"/>
      <w:r>
        <w:rPr>
          <w:rFonts w:ascii="Calibri" w:eastAsia="Calibri" w:hAnsi="Calibri" w:cs="Calibri"/>
          <w:b w:val="0"/>
          <w:color w:val="000000"/>
        </w:rPr>
        <w:t>relevant</w:t>
      </w:r>
      <w:proofErr w:type="gramEnd"/>
      <w:r>
        <w:rPr>
          <w:rFonts w:ascii="Calibri" w:eastAsia="Calibri" w:hAnsi="Calibri" w:cs="Calibri"/>
          <w:b w:val="0"/>
          <w:color w:val="000000"/>
        </w:rPr>
        <w:t xml:space="preserve"> and necessary to do so in line with Article 8 – Human Rights Act 1998.</w:t>
      </w:r>
    </w:p>
    <w:p w14:paraId="73F8641A" w14:textId="77777777" w:rsidR="000C3208" w:rsidRDefault="000C3208"/>
    <w:p w14:paraId="1B252246" w14:textId="77777777" w:rsidR="000C3208" w:rsidRDefault="000C3208"/>
    <w:p w14:paraId="7AA08F66" w14:textId="77777777" w:rsidR="000C3208" w:rsidRDefault="009E6A3C">
      <w:pPr>
        <w:pStyle w:val="Heading3"/>
      </w:pPr>
      <w:bookmarkStart w:id="23" w:name="_heading=h.2xcytpi" w:colFirst="0" w:colLast="0"/>
      <w:bookmarkEnd w:id="23"/>
      <w:r>
        <w:t>Other Legislation</w:t>
      </w:r>
    </w:p>
    <w:p w14:paraId="7CAA3031" w14:textId="77777777" w:rsidR="000C3208" w:rsidRDefault="009E6A3C">
      <w:r>
        <w:t>The following legislation is also applicable to the sharing of this information to assist with compliance with:</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2"/>
        <w:gridCol w:w="5444"/>
      </w:tblGrid>
      <w:tr w:rsidR="000C3208" w14:paraId="0885A679" w14:textId="77777777">
        <w:tc>
          <w:tcPr>
            <w:tcW w:w="3572" w:type="dxa"/>
          </w:tcPr>
          <w:p w14:paraId="2807B69F" w14:textId="77777777" w:rsidR="000C3208" w:rsidRDefault="009E6A3C">
            <w:pPr>
              <w:pStyle w:val="Heading3"/>
            </w:pPr>
            <w:bookmarkStart w:id="24" w:name="_heading=h.1ci93xb" w:colFirst="0" w:colLast="0"/>
            <w:bookmarkEnd w:id="24"/>
            <w:r>
              <w:t>Legislation</w:t>
            </w:r>
          </w:p>
          <w:p w14:paraId="4AF5BE1D" w14:textId="77777777" w:rsidR="000C3208" w:rsidRDefault="000C3208"/>
        </w:tc>
        <w:tc>
          <w:tcPr>
            <w:tcW w:w="5444" w:type="dxa"/>
          </w:tcPr>
          <w:p w14:paraId="508B3BE5" w14:textId="77777777" w:rsidR="000C3208" w:rsidRDefault="009E6A3C">
            <w:pPr>
              <w:pStyle w:val="Heading3"/>
            </w:pPr>
            <w:bookmarkStart w:id="25" w:name="_heading=h.3whwml4" w:colFirst="0" w:colLast="0"/>
            <w:bookmarkEnd w:id="25"/>
            <w:r>
              <w:t>How this agreement helps compliance</w:t>
            </w:r>
          </w:p>
        </w:tc>
      </w:tr>
    </w:tbl>
    <w:tbl>
      <w:tblPr>
        <w:tblW w:w="9015" w:type="dxa"/>
        <w:tblCellMar>
          <w:left w:w="0" w:type="dxa"/>
          <w:right w:w="0" w:type="dxa"/>
        </w:tblCellMar>
        <w:tblLook w:val="04A0" w:firstRow="1" w:lastRow="0" w:firstColumn="1" w:lastColumn="0" w:noHBand="0" w:noVBand="1"/>
      </w:tblPr>
      <w:tblGrid>
        <w:gridCol w:w="3572"/>
        <w:gridCol w:w="5443"/>
      </w:tblGrid>
      <w:tr w:rsidR="00D27CDD" w14:paraId="71AC1137" w14:textId="77777777" w:rsidTr="00D27CDD">
        <w:tc>
          <w:tcPr>
            <w:tcW w:w="35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34598" w14:textId="77777777" w:rsidR="00D27CDD" w:rsidRDefault="00D27CDD">
            <w:r>
              <w:t>Common law duty of confidentiality</w:t>
            </w:r>
          </w:p>
        </w:tc>
        <w:tc>
          <w:tcPr>
            <w:tcW w:w="5443" w:type="dxa"/>
            <w:tcBorders>
              <w:top w:val="nil"/>
              <w:left w:val="nil"/>
              <w:bottom w:val="single" w:sz="8" w:space="0" w:color="000000"/>
              <w:right w:val="single" w:sz="8" w:space="0" w:color="000000"/>
            </w:tcBorders>
            <w:tcMar>
              <w:top w:w="0" w:type="dxa"/>
              <w:left w:w="108" w:type="dxa"/>
              <w:bottom w:w="0" w:type="dxa"/>
              <w:right w:w="108" w:type="dxa"/>
            </w:tcMar>
            <w:hideMark/>
          </w:tcPr>
          <w:p w14:paraId="5AB1CA55" w14:textId="77777777" w:rsidR="00D27CDD" w:rsidRDefault="00D27CDD">
            <w:r>
              <w:t>When someone shares personal information in confidence, including verbally, it must not be disclosed without some form of legal authority or justification</w:t>
            </w:r>
          </w:p>
        </w:tc>
      </w:tr>
    </w:tbl>
    <w:p w14:paraId="3F98694C" w14:textId="77777777" w:rsidR="000C3208" w:rsidRDefault="000C3208"/>
    <w:p w14:paraId="550C65E5" w14:textId="77777777" w:rsidR="000C3208" w:rsidRDefault="009E6A3C">
      <w:pPr>
        <w:pStyle w:val="Heading3"/>
      </w:pPr>
      <w:bookmarkStart w:id="26" w:name="_heading=h.2bn6wsx" w:colFirst="0" w:colLast="0"/>
      <w:bookmarkEnd w:id="26"/>
      <w:r>
        <w:lastRenderedPageBreak/>
        <w:t>Privacy Notices</w:t>
      </w:r>
    </w:p>
    <w:p w14:paraId="57ADE180" w14:textId="77777777" w:rsidR="000C3208" w:rsidRDefault="009E6A3C">
      <w:r>
        <w:t xml:space="preserve">Any Data Controller sharing information with, or receiving information from, a third party must make this clear to the Data Subjects within their Privacy Notices (or by other means) as required under Articles </w:t>
      </w:r>
      <w:hyperlink r:id="rId10">
        <w:r>
          <w:rPr>
            <w:color w:val="000000"/>
            <w:u w:val="single"/>
          </w:rPr>
          <w:t>13</w:t>
        </w:r>
      </w:hyperlink>
      <w:r>
        <w:t xml:space="preserve"> &amp; </w:t>
      </w:r>
      <w:hyperlink r:id="rId11">
        <w:r>
          <w:rPr>
            <w:color w:val="000000"/>
            <w:u w:val="single"/>
          </w:rPr>
          <w:t>14</w:t>
        </w:r>
      </w:hyperlink>
      <w:r>
        <w:t xml:space="preserve"> of the  General Data Protection Regulation; unless there is an exemption under the General Data Protection Regulation / Data Protection Act 2018 which applies.</w:t>
      </w:r>
    </w:p>
    <w:p w14:paraId="44B0C723" w14:textId="4BCA3BC9" w:rsidR="000C3208" w:rsidRDefault="0018078F">
      <w:r>
        <w:t>Link to SMH Privacy Notice</w:t>
      </w:r>
    </w:p>
    <w:p w14:paraId="4CD4692C" w14:textId="77777777" w:rsidR="000C3208" w:rsidRDefault="000C3208"/>
    <w:p w14:paraId="0BD3A690" w14:textId="77777777" w:rsidR="000C3208" w:rsidRDefault="000C3208"/>
    <w:p w14:paraId="51A9932A" w14:textId="77777777" w:rsidR="000C3208" w:rsidRDefault="000C3208"/>
    <w:p w14:paraId="717F9C94" w14:textId="77777777" w:rsidR="000C3208" w:rsidRDefault="009E6A3C">
      <w:pPr>
        <w:pStyle w:val="Heading3"/>
      </w:pPr>
      <w:bookmarkStart w:id="27" w:name="_heading=h.qsh70q" w:colFirst="0" w:colLast="0"/>
      <w:bookmarkEnd w:id="27"/>
      <w:r>
        <w:t>Sharing of the Information</w:t>
      </w:r>
    </w:p>
    <w:p w14:paraId="47A6D04D" w14:textId="77777777" w:rsidR="000C3208" w:rsidRDefault="000C3208"/>
    <w:p w14:paraId="65920199" w14:textId="77777777" w:rsidR="000C3208" w:rsidRDefault="009E6A3C">
      <w:pPr>
        <w:rPr>
          <w:rFonts w:ascii="Arial" w:eastAsia="Arial" w:hAnsi="Arial" w:cs="Arial"/>
          <w:b/>
          <w:sz w:val="24"/>
          <w:szCs w:val="24"/>
        </w:rPr>
      </w:pPr>
      <w:r>
        <w:rPr>
          <w:rFonts w:ascii="Arial" w:eastAsia="Arial" w:hAnsi="Arial" w:cs="Arial"/>
          <w:b/>
          <w:sz w:val="24"/>
          <w:szCs w:val="24"/>
        </w:rPr>
        <w:t xml:space="preserve">Information would be advised verbally as necessary directly prior to the lesson by the school/ </w:t>
      </w:r>
      <w:proofErr w:type="gramStart"/>
      <w:r>
        <w:rPr>
          <w:rFonts w:ascii="Arial" w:eastAsia="Arial" w:hAnsi="Arial" w:cs="Arial"/>
          <w:b/>
          <w:sz w:val="24"/>
          <w:szCs w:val="24"/>
        </w:rPr>
        <w:t>school teacher</w:t>
      </w:r>
      <w:proofErr w:type="gramEnd"/>
      <w:r>
        <w:rPr>
          <w:rFonts w:ascii="Arial" w:eastAsia="Arial" w:hAnsi="Arial" w:cs="Arial"/>
          <w:b/>
          <w:sz w:val="24"/>
          <w:szCs w:val="24"/>
        </w:rPr>
        <w:t xml:space="preserve"> directly to the Music Leader</w:t>
      </w:r>
    </w:p>
    <w:p w14:paraId="2D542C71" w14:textId="77777777" w:rsidR="000C3208" w:rsidRDefault="000C3208">
      <w:pPr>
        <w:rPr>
          <w:rFonts w:ascii="Arial" w:eastAsia="Arial" w:hAnsi="Arial" w:cs="Arial"/>
          <w:b/>
          <w:sz w:val="24"/>
          <w:szCs w:val="24"/>
        </w:rPr>
      </w:pPr>
    </w:p>
    <w:p w14:paraId="1139A712" w14:textId="77777777" w:rsidR="000C3208" w:rsidRDefault="000C3208"/>
    <w:p w14:paraId="6BCB23F8" w14:textId="77777777" w:rsidR="000C3208" w:rsidRDefault="009E6A3C">
      <w:pPr>
        <w:pStyle w:val="Heading3"/>
      </w:pPr>
      <w:bookmarkStart w:id="28" w:name="_heading=h.3as4poj" w:colFirst="0" w:colLast="0"/>
      <w:bookmarkEnd w:id="28"/>
      <w:r>
        <w:t>Storage, Retention and Destruction of the Information</w:t>
      </w:r>
    </w:p>
    <w:p w14:paraId="6B2FD767" w14:textId="77777777" w:rsidR="000C3208" w:rsidRDefault="000C3208">
      <w:pPr>
        <w:rPr>
          <w:highlight w:val="yellow"/>
        </w:rPr>
      </w:pPr>
    </w:p>
    <w:p w14:paraId="2567836E" w14:textId="77777777" w:rsidR="000C3208" w:rsidRDefault="009E6A3C">
      <w:pPr>
        <w:rPr>
          <w:rFonts w:ascii="Arial" w:eastAsia="Arial" w:hAnsi="Arial" w:cs="Arial"/>
          <w:b/>
          <w:sz w:val="24"/>
          <w:szCs w:val="24"/>
        </w:rPr>
      </w:pPr>
      <w:r>
        <w:rPr>
          <w:rFonts w:ascii="Arial" w:eastAsia="Arial" w:hAnsi="Arial" w:cs="Arial"/>
          <w:b/>
          <w:sz w:val="24"/>
          <w:szCs w:val="24"/>
        </w:rPr>
        <w:t>Anything that needs to be recorded to ensure / cover issues of Business Continuity / staff sickness will be kept securely on the Music Leaders G drive folder and passwords only available to the direct line manager.</w:t>
      </w:r>
    </w:p>
    <w:p w14:paraId="0F29D3ED" w14:textId="77777777" w:rsidR="000C3208" w:rsidRDefault="000C3208">
      <w:pPr>
        <w:rPr>
          <w:rFonts w:ascii="Arial" w:eastAsia="Arial" w:hAnsi="Arial" w:cs="Arial"/>
          <w:b/>
          <w:sz w:val="24"/>
          <w:szCs w:val="24"/>
        </w:rPr>
      </w:pPr>
    </w:p>
    <w:p w14:paraId="52B3F114" w14:textId="2E673ACE" w:rsidR="000C3208" w:rsidRDefault="009E6A3C">
      <w:pPr>
        <w:rPr>
          <w:rFonts w:ascii="Arial" w:eastAsia="Arial" w:hAnsi="Arial" w:cs="Arial"/>
          <w:b/>
          <w:sz w:val="24"/>
          <w:szCs w:val="24"/>
        </w:rPr>
      </w:pPr>
      <w:r>
        <w:rPr>
          <w:rFonts w:ascii="Arial" w:eastAsia="Arial" w:hAnsi="Arial" w:cs="Arial"/>
          <w:b/>
          <w:sz w:val="24"/>
          <w:szCs w:val="24"/>
        </w:rPr>
        <w:t xml:space="preserve">This information is kept purely whilst the student is being taught and will be deleted </w:t>
      </w:r>
      <w:r w:rsidR="0018078F">
        <w:rPr>
          <w:rFonts w:ascii="Arial" w:eastAsia="Arial" w:hAnsi="Arial" w:cs="Arial"/>
          <w:b/>
          <w:sz w:val="24"/>
          <w:szCs w:val="24"/>
        </w:rPr>
        <w:t>permanently</w:t>
      </w:r>
      <w:r>
        <w:rPr>
          <w:rFonts w:ascii="Arial" w:eastAsia="Arial" w:hAnsi="Arial" w:cs="Arial"/>
          <w:b/>
          <w:sz w:val="24"/>
          <w:szCs w:val="24"/>
        </w:rPr>
        <w:t xml:space="preserve"> when withdrawn from tuition</w:t>
      </w:r>
    </w:p>
    <w:p w14:paraId="5C347F21" w14:textId="77777777" w:rsidR="000C3208" w:rsidRDefault="000C3208"/>
    <w:p w14:paraId="64FE0049" w14:textId="77777777" w:rsidR="000C3208" w:rsidRDefault="009E6A3C">
      <w:pPr>
        <w:pStyle w:val="Heading3"/>
      </w:pPr>
      <w:bookmarkStart w:id="29" w:name="_heading=h.1pxezwc" w:colFirst="0" w:colLast="0"/>
      <w:bookmarkEnd w:id="29"/>
      <w:r>
        <w:t>Data Subject Rights</w:t>
      </w:r>
    </w:p>
    <w:p w14:paraId="7F5DCE8D" w14:textId="77777777" w:rsidR="000C3208" w:rsidRDefault="009E6A3C">
      <w:r>
        <w:t xml:space="preserve">Data Subject Requests under </w:t>
      </w:r>
      <w:hyperlink r:id="rId12">
        <w:r>
          <w:rPr>
            <w:color w:val="000000"/>
            <w:u w:val="single"/>
          </w:rPr>
          <w:t>Articles 15 – 22</w:t>
        </w:r>
      </w:hyperlink>
      <w:r>
        <w:t xml:space="preserve"> of the General Data Protection Regulation will be processed by the Data Controller that receives it.</w:t>
      </w:r>
    </w:p>
    <w:p w14:paraId="4CC9F5DA" w14:textId="77777777" w:rsidR="000C3208" w:rsidRDefault="009E6A3C">
      <w:r>
        <w:t xml:space="preserve">Data Controllers may choose to liaise with other parties for any type of Data Subject request, however, to comply with </w:t>
      </w:r>
      <w:hyperlink r:id="rId13">
        <w:r>
          <w:rPr>
            <w:color w:val="000000"/>
            <w:u w:val="single"/>
          </w:rPr>
          <w:t>Article 19 (Notification obligation regarding rectification or erasure of personal data or restriction of processing)</w:t>
        </w:r>
      </w:hyperlink>
      <w:r>
        <w:t>, they must inform all parties when receiving one of the following requests:</w:t>
      </w:r>
    </w:p>
    <w:p w14:paraId="7AE98522" w14:textId="77777777" w:rsidR="000C3208" w:rsidRDefault="008C3075">
      <w:pPr>
        <w:numPr>
          <w:ilvl w:val="0"/>
          <w:numId w:val="2"/>
        </w:numPr>
        <w:pBdr>
          <w:top w:val="nil"/>
          <w:left w:val="nil"/>
          <w:bottom w:val="nil"/>
          <w:right w:val="nil"/>
          <w:between w:val="nil"/>
        </w:pBdr>
        <w:spacing w:after="0"/>
      </w:pPr>
      <w:hyperlink r:id="rId14">
        <w:r w:rsidR="009E6A3C">
          <w:rPr>
            <w:color w:val="000000"/>
            <w:u w:val="single"/>
          </w:rPr>
          <w:t>Article 16 – Right to Rectification</w:t>
        </w:r>
      </w:hyperlink>
    </w:p>
    <w:p w14:paraId="6BA55A7E" w14:textId="77777777" w:rsidR="000C3208" w:rsidRDefault="008C3075">
      <w:pPr>
        <w:numPr>
          <w:ilvl w:val="0"/>
          <w:numId w:val="2"/>
        </w:numPr>
        <w:pBdr>
          <w:top w:val="nil"/>
          <w:left w:val="nil"/>
          <w:bottom w:val="nil"/>
          <w:right w:val="nil"/>
          <w:between w:val="nil"/>
        </w:pBdr>
        <w:spacing w:after="0"/>
      </w:pPr>
      <w:hyperlink r:id="rId15">
        <w:r w:rsidR="009E6A3C">
          <w:rPr>
            <w:color w:val="000000"/>
            <w:u w:val="single"/>
          </w:rPr>
          <w:t>Article 17 – Right to Erasure</w:t>
        </w:r>
      </w:hyperlink>
    </w:p>
    <w:p w14:paraId="418D7867" w14:textId="77777777" w:rsidR="000C3208" w:rsidRDefault="008C3075">
      <w:pPr>
        <w:numPr>
          <w:ilvl w:val="0"/>
          <w:numId w:val="2"/>
        </w:numPr>
        <w:pBdr>
          <w:top w:val="nil"/>
          <w:left w:val="nil"/>
          <w:bottom w:val="nil"/>
          <w:right w:val="nil"/>
          <w:between w:val="nil"/>
        </w:pBdr>
      </w:pPr>
      <w:hyperlink r:id="rId16">
        <w:r w:rsidR="009E6A3C">
          <w:rPr>
            <w:color w:val="000000"/>
            <w:u w:val="single"/>
          </w:rPr>
          <w:t>Article 18 – Right to Restriction</w:t>
        </w:r>
      </w:hyperlink>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3"/>
        <w:gridCol w:w="4483"/>
      </w:tblGrid>
      <w:tr w:rsidR="000C3208" w14:paraId="14EE4622" w14:textId="77777777">
        <w:tc>
          <w:tcPr>
            <w:tcW w:w="4533" w:type="dxa"/>
          </w:tcPr>
          <w:p w14:paraId="6B50DF28" w14:textId="77777777" w:rsidR="000C3208" w:rsidRDefault="000C3208">
            <w:pPr>
              <w:rPr>
                <w:rFonts w:ascii="Cambria" w:eastAsia="Cambria" w:hAnsi="Cambria" w:cs="Cambria"/>
                <w:b/>
                <w:color w:val="4F81BD"/>
              </w:rPr>
            </w:pPr>
          </w:p>
          <w:p w14:paraId="188DF646" w14:textId="77777777" w:rsidR="000C3208" w:rsidRDefault="009E6A3C">
            <w:r>
              <w:rPr>
                <w:rFonts w:ascii="Cambria" w:eastAsia="Cambria" w:hAnsi="Cambria" w:cs="Cambria"/>
                <w:b/>
                <w:color w:val="4F81BD"/>
              </w:rPr>
              <w:t>Organisation</w:t>
            </w:r>
          </w:p>
          <w:p w14:paraId="192D8EE8" w14:textId="77777777" w:rsidR="000C3208" w:rsidRDefault="000C3208"/>
        </w:tc>
        <w:tc>
          <w:tcPr>
            <w:tcW w:w="4483" w:type="dxa"/>
          </w:tcPr>
          <w:p w14:paraId="03D02BF5" w14:textId="77777777" w:rsidR="000C3208" w:rsidRDefault="000C3208">
            <w:pPr>
              <w:rPr>
                <w:rFonts w:ascii="Cambria" w:eastAsia="Cambria" w:hAnsi="Cambria" w:cs="Cambria"/>
                <w:b/>
                <w:color w:val="4F81BD"/>
              </w:rPr>
            </w:pPr>
          </w:p>
          <w:p w14:paraId="64330907" w14:textId="77777777" w:rsidR="000C3208" w:rsidRDefault="009E6A3C">
            <w:r>
              <w:rPr>
                <w:rFonts w:ascii="Cambria" w:eastAsia="Cambria" w:hAnsi="Cambria" w:cs="Cambria"/>
                <w:b/>
                <w:color w:val="4F81BD"/>
              </w:rPr>
              <w:t>Key Contact</w:t>
            </w:r>
          </w:p>
        </w:tc>
      </w:tr>
      <w:tr w:rsidR="000C3208" w14:paraId="43EA7CE7" w14:textId="77777777">
        <w:tc>
          <w:tcPr>
            <w:tcW w:w="4533" w:type="dxa"/>
            <w:shd w:val="clear" w:color="auto" w:fill="auto"/>
            <w:vAlign w:val="center"/>
          </w:tcPr>
          <w:p w14:paraId="1405521B" w14:textId="77777777" w:rsidR="000C3208" w:rsidRDefault="009E6A3C">
            <w:r>
              <w:t>Sheffield City Council</w:t>
            </w:r>
          </w:p>
        </w:tc>
        <w:tc>
          <w:tcPr>
            <w:tcW w:w="4483" w:type="dxa"/>
            <w:shd w:val="clear" w:color="auto" w:fill="auto"/>
            <w:vAlign w:val="center"/>
          </w:tcPr>
          <w:p w14:paraId="2B2BA1CA" w14:textId="77777777" w:rsidR="000C3208" w:rsidRDefault="009E6A3C">
            <w:r>
              <w:t xml:space="preserve">Information Management Team – </w:t>
            </w:r>
            <w:hyperlink r:id="rId17">
              <w:r>
                <w:rPr>
                  <w:color w:val="000000"/>
                  <w:u w:val="single"/>
                </w:rPr>
                <w:t>subjectaccess@sheffield.gov.uk</w:t>
              </w:r>
            </w:hyperlink>
            <w:r>
              <w:t xml:space="preserve"> </w:t>
            </w:r>
          </w:p>
        </w:tc>
      </w:tr>
      <w:tr w:rsidR="000C3208" w14:paraId="66F2BB6A" w14:textId="77777777">
        <w:tc>
          <w:tcPr>
            <w:tcW w:w="4533" w:type="dxa"/>
            <w:shd w:val="clear" w:color="auto" w:fill="FFFF00"/>
          </w:tcPr>
          <w:p w14:paraId="15C67E71" w14:textId="77777777" w:rsidR="000C3208" w:rsidRDefault="000C3208"/>
          <w:p w14:paraId="7AED6454" w14:textId="77777777" w:rsidR="000C3208" w:rsidRDefault="009E6A3C">
            <w:r>
              <w:t>School Name</w:t>
            </w:r>
          </w:p>
          <w:p w14:paraId="002EDBF6" w14:textId="77777777" w:rsidR="000C3208" w:rsidRDefault="000C3208"/>
        </w:tc>
        <w:tc>
          <w:tcPr>
            <w:tcW w:w="4483" w:type="dxa"/>
            <w:shd w:val="clear" w:color="auto" w:fill="FFFF00"/>
          </w:tcPr>
          <w:p w14:paraId="20B92025" w14:textId="77777777" w:rsidR="000C3208" w:rsidRDefault="000C3208"/>
          <w:p w14:paraId="7912F29F" w14:textId="77777777" w:rsidR="000C3208" w:rsidRDefault="009E6A3C">
            <w:r>
              <w:t>Contact</w:t>
            </w:r>
          </w:p>
        </w:tc>
      </w:tr>
    </w:tbl>
    <w:p w14:paraId="090CC2E1" w14:textId="77777777" w:rsidR="000C3208" w:rsidRDefault="000C3208"/>
    <w:p w14:paraId="499CDE65" w14:textId="77777777" w:rsidR="000C3208" w:rsidRDefault="009E6A3C">
      <w:pPr>
        <w:pStyle w:val="Heading3"/>
      </w:pPr>
      <w:bookmarkStart w:id="30" w:name="_heading=h.49x2ik5" w:colFirst="0" w:colLast="0"/>
      <w:bookmarkEnd w:id="30"/>
      <w:r>
        <w:t xml:space="preserve">Personal Data Breaches </w:t>
      </w:r>
    </w:p>
    <w:p w14:paraId="220CAC6C" w14:textId="77777777" w:rsidR="000C3208" w:rsidRDefault="009E6A3C">
      <w:r>
        <w:t>Where an organisation becomes aware of a personal data breach relating to this agreement, that organisation will notify all other parties privy to this agreement without undue delay.  Similarly, where an organisation becomes aware of a Security Incident which could adversely affect another other party; for example, malware or system failure, then prompt notification should be made.</w:t>
      </w:r>
    </w:p>
    <w:p w14:paraId="5B3F7C01" w14:textId="77777777" w:rsidR="000C3208" w:rsidRDefault="009E6A3C">
      <w:r>
        <w:t xml:space="preserve">Where notification the Information Commissioner’s Office and or Data Subjects affected by a personal data breach is required under Articles </w:t>
      </w:r>
      <w:hyperlink r:id="rId18">
        <w:r>
          <w:rPr>
            <w:color w:val="000000"/>
            <w:u w:val="single"/>
          </w:rPr>
          <w:t>33</w:t>
        </w:r>
      </w:hyperlink>
      <w:r>
        <w:t xml:space="preserve"> and </w:t>
      </w:r>
      <w:hyperlink r:id="rId19">
        <w:r>
          <w:rPr>
            <w:color w:val="000000"/>
            <w:u w:val="single"/>
          </w:rPr>
          <w:t>34</w:t>
        </w:r>
      </w:hyperlink>
      <w:r>
        <w:t xml:space="preserve"> of the General Data Protection Regulation, all parties will agree who is responsible for the method and content of the notification.</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1"/>
        <w:gridCol w:w="4515"/>
      </w:tblGrid>
      <w:tr w:rsidR="000C3208" w14:paraId="4B36A47C" w14:textId="77777777">
        <w:tc>
          <w:tcPr>
            <w:tcW w:w="4501" w:type="dxa"/>
          </w:tcPr>
          <w:p w14:paraId="2D852B39" w14:textId="77777777" w:rsidR="000C3208" w:rsidRDefault="000C3208">
            <w:pPr>
              <w:rPr>
                <w:rFonts w:ascii="Cambria" w:eastAsia="Cambria" w:hAnsi="Cambria" w:cs="Cambria"/>
                <w:b/>
                <w:color w:val="4F81BD"/>
              </w:rPr>
            </w:pPr>
          </w:p>
          <w:p w14:paraId="68D80305" w14:textId="77777777" w:rsidR="000C3208" w:rsidRDefault="009E6A3C">
            <w:r>
              <w:rPr>
                <w:rFonts w:ascii="Cambria" w:eastAsia="Cambria" w:hAnsi="Cambria" w:cs="Cambria"/>
                <w:b/>
                <w:color w:val="4F81BD"/>
              </w:rPr>
              <w:t>Organisation</w:t>
            </w:r>
          </w:p>
          <w:p w14:paraId="41F8C470" w14:textId="77777777" w:rsidR="000C3208" w:rsidRDefault="000C3208"/>
        </w:tc>
        <w:tc>
          <w:tcPr>
            <w:tcW w:w="4515" w:type="dxa"/>
          </w:tcPr>
          <w:p w14:paraId="7F94CC8F" w14:textId="77777777" w:rsidR="000C3208" w:rsidRDefault="000C3208">
            <w:pPr>
              <w:rPr>
                <w:rFonts w:ascii="Cambria" w:eastAsia="Cambria" w:hAnsi="Cambria" w:cs="Cambria"/>
                <w:b/>
                <w:color w:val="4F81BD"/>
              </w:rPr>
            </w:pPr>
          </w:p>
          <w:p w14:paraId="0A787BEB" w14:textId="77777777" w:rsidR="000C3208" w:rsidRDefault="009E6A3C">
            <w:r>
              <w:rPr>
                <w:rFonts w:ascii="Cambria" w:eastAsia="Cambria" w:hAnsi="Cambria" w:cs="Cambria"/>
                <w:b/>
                <w:color w:val="4F81BD"/>
              </w:rPr>
              <w:t>Key Contact</w:t>
            </w:r>
          </w:p>
        </w:tc>
      </w:tr>
      <w:tr w:rsidR="000C3208" w14:paraId="449F41A2" w14:textId="77777777">
        <w:tc>
          <w:tcPr>
            <w:tcW w:w="4501" w:type="dxa"/>
            <w:shd w:val="clear" w:color="auto" w:fill="auto"/>
            <w:vAlign w:val="center"/>
          </w:tcPr>
          <w:p w14:paraId="0A511925" w14:textId="77777777" w:rsidR="000C3208" w:rsidRDefault="009E6A3C">
            <w:r>
              <w:t>Sheffield City Council</w:t>
            </w:r>
          </w:p>
        </w:tc>
        <w:tc>
          <w:tcPr>
            <w:tcW w:w="4515" w:type="dxa"/>
            <w:shd w:val="clear" w:color="auto" w:fill="auto"/>
            <w:vAlign w:val="center"/>
          </w:tcPr>
          <w:p w14:paraId="643E49BA" w14:textId="77777777" w:rsidR="000C3208" w:rsidRDefault="009E6A3C">
            <w:r>
              <w:t xml:space="preserve">Information Management Team – </w:t>
            </w:r>
            <w:hyperlink r:id="rId20">
              <w:r>
                <w:rPr>
                  <w:color w:val="000000"/>
                  <w:u w:val="single"/>
                </w:rPr>
                <w:t>informationmanagement@sheffield.gov.uk</w:t>
              </w:r>
            </w:hyperlink>
            <w:r>
              <w:t xml:space="preserve"> </w:t>
            </w:r>
          </w:p>
        </w:tc>
      </w:tr>
      <w:tr w:rsidR="000C3208" w14:paraId="142BF510" w14:textId="77777777">
        <w:tc>
          <w:tcPr>
            <w:tcW w:w="4501" w:type="dxa"/>
            <w:shd w:val="clear" w:color="auto" w:fill="FFFF00"/>
          </w:tcPr>
          <w:p w14:paraId="2CA5AE42" w14:textId="77777777" w:rsidR="000C3208" w:rsidRDefault="000C3208"/>
          <w:p w14:paraId="6B1ADB9D" w14:textId="77777777" w:rsidR="000C3208" w:rsidRDefault="009E6A3C">
            <w:r>
              <w:t>School Name</w:t>
            </w:r>
          </w:p>
        </w:tc>
        <w:tc>
          <w:tcPr>
            <w:tcW w:w="4515" w:type="dxa"/>
            <w:shd w:val="clear" w:color="auto" w:fill="FFFF00"/>
          </w:tcPr>
          <w:p w14:paraId="0067F460" w14:textId="77777777" w:rsidR="000C3208" w:rsidRDefault="000C3208"/>
          <w:p w14:paraId="2F16AE5D" w14:textId="77777777" w:rsidR="000C3208" w:rsidRDefault="009E6A3C">
            <w:r>
              <w:t>School contact</w:t>
            </w:r>
          </w:p>
        </w:tc>
      </w:tr>
    </w:tbl>
    <w:p w14:paraId="75652F6A" w14:textId="77777777" w:rsidR="000C3208" w:rsidRDefault="000C3208"/>
    <w:p w14:paraId="45D8F616" w14:textId="77777777" w:rsidR="000C3208" w:rsidRDefault="009E6A3C">
      <w:pPr>
        <w:pStyle w:val="Heading3"/>
      </w:pPr>
      <w:bookmarkStart w:id="31" w:name="_heading=h.2p2csry" w:colFirst="0" w:colLast="0"/>
      <w:bookmarkEnd w:id="31"/>
      <w:r>
        <w:t>Review of this Agreement</w:t>
      </w:r>
    </w:p>
    <w:p w14:paraId="2F657825" w14:textId="77777777" w:rsidR="000C3208" w:rsidRDefault="009E6A3C">
      <w:r>
        <w:rPr>
          <w:highlight w:val="yellow"/>
        </w:rPr>
        <w:t xml:space="preserve">[INSERT </w:t>
      </w:r>
      <w:r>
        <w:rPr>
          <w:smallCaps/>
          <w:highlight w:val="yellow"/>
        </w:rPr>
        <w:t>DATE OF REVIEW AND WHO WILL CARRY OUT THE REVIEW</w:t>
      </w:r>
      <w:r>
        <w:rPr>
          <w:highlight w:val="yellow"/>
        </w:rPr>
        <w:t>]</w:t>
      </w:r>
    </w:p>
    <w:p w14:paraId="62BEE839" w14:textId="77777777" w:rsidR="000C3208" w:rsidRDefault="009E6A3C">
      <w:r>
        <w:t>This agreement can be terminated at any time before this date by providing notice in writing to all parties privy to the agreement.</w:t>
      </w:r>
    </w:p>
    <w:p w14:paraId="50DFC92B" w14:textId="77777777" w:rsidR="000C3208" w:rsidRDefault="000C3208"/>
    <w:p w14:paraId="34355721" w14:textId="77777777" w:rsidR="000C3208" w:rsidRDefault="009E6A3C">
      <w:pPr>
        <w:pStyle w:val="Heading3"/>
      </w:pPr>
      <w:bookmarkStart w:id="32" w:name="_heading=h.147n2zr" w:colFirst="0" w:colLast="0"/>
      <w:bookmarkEnd w:id="32"/>
      <w:r>
        <w:t>Signatories/Key Contacts</w:t>
      </w:r>
    </w:p>
    <w:p w14:paraId="7D5C6507" w14:textId="77777777" w:rsidR="000C3208" w:rsidRDefault="009E6A3C">
      <w:r>
        <w:t>This agreement must be formally approved and signed by all parties before any information sharing takes place.  All parties will ensure that the Information Sharing Agreement and any associated documents are known and understood by all staff involved in the process.</w:t>
      </w:r>
    </w:p>
    <w:tbl>
      <w:tblPr>
        <w:tblStyle w:val="a7"/>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859"/>
        <w:gridCol w:w="2311"/>
      </w:tblGrid>
      <w:tr w:rsidR="000C3208" w14:paraId="6011E3AA" w14:textId="77777777">
        <w:tc>
          <w:tcPr>
            <w:tcW w:w="2310" w:type="dxa"/>
          </w:tcPr>
          <w:p w14:paraId="5C9CA7CA" w14:textId="77777777" w:rsidR="000C3208" w:rsidRDefault="000C3208">
            <w:pPr>
              <w:rPr>
                <w:rFonts w:ascii="Cambria" w:eastAsia="Cambria" w:hAnsi="Cambria" w:cs="Cambria"/>
                <w:b/>
                <w:color w:val="4F81BD"/>
              </w:rPr>
            </w:pPr>
          </w:p>
          <w:p w14:paraId="00DDE01B" w14:textId="77777777" w:rsidR="000C3208" w:rsidRDefault="009E6A3C">
            <w:r>
              <w:rPr>
                <w:rFonts w:ascii="Cambria" w:eastAsia="Cambria" w:hAnsi="Cambria" w:cs="Cambria"/>
                <w:b/>
                <w:color w:val="4F81BD"/>
              </w:rPr>
              <w:t>Organisation</w:t>
            </w:r>
          </w:p>
          <w:p w14:paraId="5AEB189D" w14:textId="77777777" w:rsidR="000C3208" w:rsidRDefault="000C3208">
            <w:pPr>
              <w:rPr>
                <w:rFonts w:ascii="Cambria" w:eastAsia="Cambria" w:hAnsi="Cambria" w:cs="Cambria"/>
                <w:b/>
                <w:color w:val="4F81BD"/>
              </w:rPr>
            </w:pPr>
          </w:p>
        </w:tc>
        <w:tc>
          <w:tcPr>
            <w:tcW w:w="2310" w:type="dxa"/>
          </w:tcPr>
          <w:p w14:paraId="081C30B5" w14:textId="77777777" w:rsidR="000C3208" w:rsidRDefault="000C3208">
            <w:pPr>
              <w:rPr>
                <w:rFonts w:ascii="Cambria" w:eastAsia="Cambria" w:hAnsi="Cambria" w:cs="Cambria"/>
                <w:b/>
                <w:color w:val="4F81BD"/>
              </w:rPr>
            </w:pPr>
          </w:p>
          <w:p w14:paraId="3C853D63" w14:textId="77777777" w:rsidR="000C3208" w:rsidRDefault="009E6A3C">
            <w:pPr>
              <w:rPr>
                <w:rFonts w:ascii="Cambria" w:eastAsia="Cambria" w:hAnsi="Cambria" w:cs="Cambria"/>
                <w:b/>
                <w:color w:val="4F81BD"/>
              </w:rPr>
            </w:pPr>
            <w:r>
              <w:rPr>
                <w:rFonts w:ascii="Cambria" w:eastAsia="Cambria" w:hAnsi="Cambria" w:cs="Cambria"/>
                <w:b/>
                <w:color w:val="4F81BD"/>
              </w:rPr>
              <w:t xml:space="preserve">Authorising Officer </w:t>
            </w:r>
          </w:p>
        </w:tc>
        <w:tc>
          <w:tcPr>
            <w:tcW w:w="2859" w:type="dxa"/>
          </w:tcPr>
          <w:p w14:paraId="5E90CA31" w14:textId="77777777" w:rsidR="000C3208" w:rsidRDefault="000C3208">
            <w:pPr>
              <w:rPr>
                <w:rFonts w:ascii="Cambria" w:eastAsia="Cambria" w:hAnsi="Cambria" w:cs="Cambria"/>
                <w:b/>
                <w:color w:val="4F81BD"/>
              </w:rPr>
            </w:pPr>
          </w:p>
          <w:p w14:paraId="73A9A1B9" w14:textId="77777777" w:rsidR="000C3208" w:rsidRDefault="009E6A3C">
            <w:pPr>
              <w:rPr>
                <w:rFonts w:ascii="Cambria" w:eastAsia="Cambria" w:hAnsi="Cambria" w:cs="Cambria"/>
                <w:b/>
                <w:color w:val="4F81BD"/>
              </w:rPr>
            </w:pPr>
            <w:r>
              <w:rPr>
                <w:rFonts w:ascii="Cambria" w:eastAsia="Cambria" w:hAnsi="Cambria" w:cs="Cambria"/>
                <w:b/>
                <w:color w:val="4F81BD"/>
              </w:rPr>
              <w:t>Key Contact</w:t>
            </w:r>
          </w:p>
        </w:tc>
        <w:tc>
          <w:tcPr>
            <w:tcW w:w="2311" w:type="dxa"/>
          </w:tcPr>
          <w:p w14:paraId="4DAE33F0" w14:textId="77777777" w:rsidR="000C3208" w:rsidRDefault="000C3208">
            <w:pPr>
              <w:rPr>
                <w:rFonts w:ascii="Cambria" w:eastAsia="Cambria" w:hAnsi="Cambria" w:cs="Cambria"/>
                <w:b/>
                <w:color w:val="4F81BD"/>
              </w:rPr>
            </w:pPr>
          </w:p>
          <w:p w14:paraId="2F0B503C" w14:textId="77777777" w:rsidR="000C3208" w:rsidRDefault="009E6A3C">
            <w:pPr>
              <w:rPr>
                <w:rFonts w:ascii="Cambria" w:eastAsia="Cambria" w:hAnsi="Cambria" w:cs="Cambria"/>
                <w:b/>
                <w:color w:val="4F81BD"/>
              </w:rPr>
            </w:pPr>
            <w:r>
              <w:rPr>
                <w:rFonts w:ascii="Cambria" w:eastAsia="Cambria" w:hAnsi="Cambria" w:cs="Cambria"/>
                <w:b/>
                <w:color w:val="4F81BD"/>
              </w:rPr>
              <w:t>Date Agreed</w:t>
            </w:r>
          </w:p>
        </w:tc>
      </w:tr>
      <w:tr w:rsidR="000C3208" w14:paraId="24278DBA" w14:textId="77777777" w:rsidTr="002C2501">
        <w:tc>
          <w:tcPr>
            <w:tcW w:w="2310" w:type="dxa"/>
            <w:shd w:val="clear" w:color="auto" w:fill="auto"/>
          </w:tcPr>
          <w:p w14:paraId="2957D0BE" w14:textId="77777777" w:rsidR="000C3208" w:rsidRDefault="000C3208"/>
          <w:p w14:paraId="28EFD6A7" w14:textId="63331A92" w:rsidR="000C3208" w:rsidRDefault="009E6A3C">
            <w:r>
              <w:t xml:space="preserve">Sheffield </w:t>
            </w:r>
            <w:r w:rsidR="006D5EF0">
              <w:t xml:space="preserve">City Council (Sheffield Music Hub) </w:t>
            </w:r>
          </w:p>
          <w:p w14:paraId="140A7F0A" w14:textId="77777777" w:rsidR="000C3208" w:rsidRDefault="000C3208"/>
        </w:tc>
        <w:tc>
          <w:tcPr>
            <w:tcW w:w="2310" w:type="dxa"/>
            <w:shd w:val="clear" w:color="auto" w:fill="auto"/>
          </w:tcPr>
          <w:p w14:paraId="71B86936" w14:textId="25365FBA" w:rsidR="000C3208" w:rsidRDefault="006D5EF0">
            <w:r>
              <w:t>Andrew Jones</w:t>
            </w:r>
          </w:p>
        </w:tc>
        <w:tc>
          <w:tcPr>
            <w:tcW w:w="2859" w:type="dxa"/>
            <w:shd w:val="clear" w:color="auto" w:fill="auto"/>
          </w:tcPr>
          <w:p w14:paraId="4AA940DE" w14:textId="7ED09C5A" w:rsidR="000C3208" w:rsidRDefault="006D5EF0">
            <w:r>
              <w:t>Ian Naylor, Head of Music Education</w:t>
            </w:r>
          </w:p>
        </w:tc>
        <w:tc>
          <w:tcPr>
            <w:tcW w:w="2311" w:type="dxa"/>
            <w:shd w:val="clear" w:color="auto" w:fill="auto"/>
          </w:tcPr>
          <w:p w14:paraId="5A2A4F0D" w14:textId="77777777" w:rsidR="000C3208" w:rsidRDefault="000C3208"/>
        </w:tc>
      </w:tr>
      <w:tr w:rsidR="000C3208" w14:paraId="2F755A80" w14:textId="77777777">
        <w:tc>
          <w:tcPr>
            <w:tcW w:w="2310" w:type="dxa"/>
            <w:shd w:val="clear" w:color="auto" w:fill="FFFF00"/>
          </w:tcPr>
          <w:p w14:paraId="1C74D08B" w14:textId="77777777" w:rsidR="000C3208" w:rsidRDefault="000C3208"/>
          <w:p w14:paraId="48713245" w14:textId="77777777" w:rsidR="000C3208" w:rsidRDefault="009E6A3C">
            <w:r>
              <w:t>School Name</w:t>
            </w:r>
          </w:p>
        </w:tc>
        <w:tc>
          <w:tcPr>
            <w:tcW w:w="2310" w:type="dxa"/>
            <w:shd w:val="clear" w:color="auto" w:fill="FFFF00"/>
          </w:tcPr>
          <w:p w14:paraId="39A26FBC" w14:textId="77777777" w:rsidR="000C3208" w:rsidRDefault="000C3208"/>
        </w:tc>
        <w:tc>
          <w:tcPr>
            <w:tcW w:w="2859" w:type="dxa"/>
            <w:shd w:val="clear" w:color="auto" w:fill="FFFF00"/>
          </w:tcPr>
          <w:p w14:paraId="27A56401" w14:textId="77777777" w:rsidR="000C3208" w:rsidRDefault="000C3208"/>
        </w:tc>
        <w:tc>
          <w:tcPr>
            <w:tcW w:w="2311" w:type="dxa"/>
            <w:shd w:val="clear" w:color="auto" w:fill="FFFF00"/>
          </w:tcPr>
          <w:p w14:paraId="0EFA32A3" w14:textId="77777777" w:rsidR="000C3208" w:rsidRDefault="000C3208"/>
        </w:tc>
      </w:tr>
    </w:tbl>
    <w:p w14:paraId="441DBEAF" w14:textId="77777777" w:rsidR="000C3208" w:rsidRDefault="000C3208"/>
    <w:p w14:paraId="51633C47" w14:textId="77777777" w:rsidR="000C3208" w:rsidRDefault="000C3208"/>
    <w:sectPr w:rsidR="000C32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FE"/>
    <w:multiLevelType w:val="multilevel"/>
    <w:tmpl w:val="0E10E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C5236"/>
    <w:multiLevelType w:val="multilevel"/>
    <w:tmpl w:val="376A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51545"/>
    <w:multiLevelType w:val="multilevel"/>
    <w:tmpl w:val="68586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077BC"/>
    <w:multiLevelType w:val="multilevel"/>
    <w:tmpl w:val="60449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42CE5"/>
    <w:multiLevelType w:val="multilevel"/>
    <w:tmpl w:val="FF5C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742F6"/>
    <w:multiLevelType w:val="multilevel"/>
    <w:tmpl w:val="24902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4A4794"/>
    <w:multiLevelType w:val="multilevel"/>
    <w:tmpl w:val="93B4C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90756A"/>
    <w:multiLevelType w:val="multilevel"/>
    <w:tmpl w:val="7764B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E27AB3"/>
    <w:multiLevelType w:val="multilevel"/>
    <w:tmpl w:val="FBC68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9859020">
    <w:abstractNumId w:val="4"/>
  </w:num>
  <w:num w:numId="2" w16cid:durableId="1382942164">
    <w:abstractNumId w:val="7"/>
  </w:num>
  <w:num w:numId="3" w16cid:durableId="1362901902">
    <w:abstractNumId w:val="0"/>
  </w:num>
  <w:num w:numId="4" w16cid:durableId="87703597">
    <w:abstractNumId w:val="8"/>
  </w:num>
  <w:num w:numId="5" w16cid:durableId="1465736808">
    <w:abstractNumId w:val="1"/>
  </w:num>
  <w:num w:numId="6" w16cid:durableId="1082920376">
    <w:abstractNumId w:val="3"/>
  </w:num>
  <w:num w:numId="7" w16cid:durableId="1562209114">
    <w:abstractNumId w:val="6"/>
  </w:num>
  <w:num w:numId="8" w16cid:durableId="520241979">
    <w:abstractNumId w:val="2"/>
  </w:num>
  <w:num w:numId="9" w16cid:durableId="1701976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08"/>
    <w:rsid w:val="000C3208"/>
    <w:rsid w:val="0018078F"/>
    <w:rsid w:val="001B70C7"/>
    <w:rsid w:val="002C2501"/>
    <w:rsid w:val="00407D9A"/>
    <w:rsid w:val="006D5EF0"/>
    <w:rsid w:val="008C3075"/>
    <w:rsid w:val="009E6A3C"/>
    <w:rsid w:val="00AF5771"/>
    <w:rsid w:val="00D2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477B"/>
  <w15:docId w15:val="{13637A5A-9CB9-4D78-B725-407A92B9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7D"/>
  </w:style>
  <w:style w:type="paragraph" w:styleId="Heading1">
    <w:name w:val="heading 1"/>
    <w:basedOn w:val="Normal"/>
    <w:next w:val="Normal"/>
    <w:link w:val="Heading1Char"/>
    <w:uiPriority w:val="9"/>
    <w:qFormat/>
    <w:rsid w:val="0065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55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6557D"/>
    <w:rPr>
      <w:color w:val="000000"/>
      <w:u w:val="single"/>
    </w:rPr>
  </w:style>
  <w:style w:type="paragraph" w:customStyle="1" w:styleId="Table-Body">
    <w:name w:val="Table - Body"/>
    <w:basedOn w:val="Normal"/>
    <w:rsid w:val="00D6557D"/>
    <w:pPr>
      <w:spacing w:after="0" w:line="240" w:lineRule="auto"/>
    </w:pPr>
    <w:rPr>
      <w:rFonts w:eastAsia="MS Mincho" w:cs="Times New Roman"/>
    </w:rPr>
  </w:style>
  <w:style w:type="paragraph" w:customStyle="1" w:styleId="Table-Bold">
    <w:name w:val="Table - Bold"/>
    <w:basedOn w:val="Table-Body"/>
    <w:rsid w:val="00D6557D"/>
    <w:rPr>
      <w:b/>
    </w:rPr>
  </w:style>
  <w:style w:type="paragraph" w:customStyle="1" w:styleId="DocTitle">
    <w:name w:val="Doc Title"/>
    <w:basedOn w:val="Normal"/>
    <w:rsid w:val="00D6557D"/>
    <w:pPr>
      <w:spacing w:before="60" w:after="60" w:line="240" w:lineRule="auto"/>
      <w:jc w:val="both"/>
      <w:outlineLvl w:val="0"/>
    </w:pPr>
    <w:rPr>
      <w:rFonts w:eastAsia="MS Mincho" w:cstheme="minorHAnsi"/>
      <w:b/>
      <w:bCs/>
      <w:color w:val="000080"/>
      <w:sz w:val="24"/>
    </w:rPr>
  </w:style>
  <w:style w:type="table" w:customStyle="1" w:styleId="SCC-Header">
    <w:name w:val="SCC - Header"/>
    <w:basedOn w:val="TableNormal"/>
    <w:uiPriority w:val="99"/>
    <w:rsid w:val="00D6557D"/>
    <w:pPr>
      <w:spacing w:after="0" w:line="240" w:lineRule="auto"/>
    </w:pPr>
    <w:rPr>
      <w:rFonts w:eastAsia="MS Mincho" w:cs="Times New Roman"/>
    </w:rPr>
    <w:tblPr>
      <w:tblBorders>
        <w:top w:val="single" w:sz="12" w:space="0" w:color="auto"/>
        <w:bottom w:val="single" w:sz="12" w:space="0" w:color="auto"/>
        <w:insideH w:val="single" w:sz="6" w:space="0" w:color="auto"/>
      </w:tblBorders>
      <w:tblCellMar>
        <w:top w:w="85" w:type="dxa"/>
        <w:bottom w:w="85" w:type="dxa"/>
      </w:tblCellMar>
    </w:tblPr>
    <w:tblStylePr w:type="firstRow">
      <w:rPr>
        <w:rFonts w:ascii="Arial" w:hAnsi="Arial"/>
        <w:b w:val="0"/>
        <w:sz w:val="24"/>
      </w:rPr>
      <w:tblPr/>
      <w:tcPr>
        <w:tcBorders>
          <w:top w:val="single" w:sz="12" w:space="0" w:color="auto"/>
          <w:left w:val="nil"/>
          <w:bottom w:val="single" w:sz="12" w:space="0" w:color="auto"/>
          <w:right w:val="nil"/>
          <w:insideV w:val="nil"/>
        </w:tcBorders>
      </w:tcPr>
    </w:tblStylePr>
    <w:tblStylePr w:type="lastRow">
      <w:tblPr/>
      <w:tcPr>
        <w:tcBorders>
          <w:bottom w:val="single" w:sz="12" w:space="0" w:color="auto"/>
        </w:tcBorders>
      </w:tcPr>
    </w:tblStylePr>
  </w:style>
  <w:style w:type="paragraph" w:customStyle="1" w:styleId="DocSummary">
    <w:name w:val="Doc Summary"/>
    <w:basedOn w:val="Normal"/>
    <w:rsid w:val="00D6557D"/>
    <w:pPr>
      <w:spacing w:after="60" w:line="288" w:lineRule="auto"/>
      <w:jc w:val="both"/>
    </w:pPr>
    <w:rPr>
      <w:rFonts w:eastAsia="MS Mincho"/>
      <w:i/>
      <w:sz w:val="18"/>
    </w:rPr>
  </w:style>
  <w:style w:type="paragraph" w:styleId="BalloonText">
    <w:name w:val="Balloon Text"/>
    <w:basedOn w:val="Normal"/>
    <w:link w:val="BalloonTextChar"/>
    <w:uiPriority w:val="99"/>
    <w:semiHidden/>
    <w:unhideWhenUsed/>
    <w:rsid w:val="00D6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7D"/>
    <w:rPr>
      <w:rFonts w:ascii="Tahoma" w:hAnsi="Tahoma" w:cs="Tahoma"/>
      <w:sz w:val="16"/>
      <w:szCs w:val="16"/>
    </w:rPr>
  </w:style>
  <w:style w:type="paragraph" w:styleId="ListParagraph">
    <w:name w:val="List Paragraph"/>
    <w:basedOn w:val="Normal"/>
    <w:uiPriority w:val="34"/>
    <w:qFormat/>
    <w:rsid w:val="00D6557D"/>
    <w:pPr>
      <w:ind w:left="720"/>
      <w:contextualSpacing/>
    </w:pPr>
  </w:style>
  <w:style w:type="character" w:customStyle="1" w:styleId="Heading2Char">
    <w:name w:val="Heading 2 Char"/>
    <w:basedOn w:val="DefaultParagraphFont"/>
    <w:link w:val="Heading2"/>
    <w:uiPriority w:val="9"/>
    <w:rsid w:val="00D655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557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57D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7D51"/>
    <w:pPr>
      <w:outlineLvl w:val="9"/>
    </w:pPr>
    <w:rPr>
      <w:lang w:val="en-US" w:eastAsia="ja-JP"/>
    </w:rPr>
  </w:style>
  <w:style w:type="paragraph" w:styleId="TOC1">
    <w:name w:val="toc 1"/>
    <w:basedOn w:val="Normal"/>
    <w:next w:val="Normal"/>
    <w:autoRedefine/>
    <w:uiPriority w:val="39"/>
    <w:unhideWhenUsed/>
    <w:rsid w:val="00657D51"/>
    <w:pPr>
      <w:spacing w:after="100"/>
    </w:pPr>
  </w:style>
  <w:style w:type="paragraph" w:styleId="TOC2">
    <w:name w:val="toc 2"/>
    <w:basedOn w:val="Normal"/>
    <w:next w:val="Normal"/>
    <w:autoRedefine/>
    <w:uiPriority w:val="39"/>
    <w:unhideWhenUsed/>
    <w:rsid w:val="00657D51"/>
    <w:pPr>
      <w:spacing w:after="100"/>
      <w:ind w:left="220"/>
    </w:pPr>
  </w:style>
  <w:style w:type="paragraph" w:styleId="TOC3">
    <w:name w:val="toc 3"/>
    <w:basedOn w:val="Normal"/>
    <w:next w:val="Normal"/>
    <w:autoRedefine/>
    <w:uiPriority w:val="39"/>
    <w:unhideWhenUsed/>
    <w:rsid w:val="00657D51"/>
    <w:pPr>
      <w:spacing w:after="100"/>
      <w:ind w:left="440"/>
    </w:pPr>
  </w:style>
  <w:style w:type="table" w:styleId="TableGrid">
    <w:name w:val="Table Grid"/>
    <w:basedOn w:val="TableNormal"/>
    <w:uiPriority w:val="59"/>
    <w:rsid w:val="007F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12B"/>
    <w:rPr>
      <w:sz w:val="16"/>
      <w:szCs w:val="16"/>
    </w:rPr>
  </w:style>
  <w:style w:type="paragraph" w:styleId="CommentText">
    <w:name w:val="annotation text"/>
    <w:basedOn w:val="Normal"/>
    <w:link w:val="CommentTextChar"/>
    <w:uiPriority w:val="99"/>
    <w:semiHidden/>
    <w:unhideWhenUsed/>
    <w:rsid w:val="00C7612B"/>
    <w:pPr>
      <w:spacing w:line="240" w:lineRule="auto"/>
    </w:pPr>
    <w:rPr>
      <w:sz w:val="20"/>
      <w:szCs w:val="20"/>
    </w:rPr>
  </w:style>
  <w:style w:type="character" w:customStyle="1" w:styleId="CommentTextChar">
    <w:name w:val="Comment Text Char"/>
    <w:basedOn w:val="DefaultParagraphFont"/>
    <w:link w:val="CommentText"/>
    <w:uiPriority w:val="99"/>
    <w:semiHidden/>
    <w:rsid w:val="00C7612B"/>
    <w:rPr>
      <w:sz w:val="20"/>
      <w:szCs w:val="20"/>
    </w:rPr>
  </w:style>
  <w:style w:type="paragraph" w:styleId="CommentSubject">
    <w:name w:val="annotation subject"/>
    <w:basedOn w:val="CommentText"/>
    <w:next w:val="CommentText"/>
    <w:link w:val="CommentSubjectChar"/>
    <w:uiPriority w:val="99"/>
    <w:semiHidden/>
    <w:unhideWhenUsed/>
    <w:rsid w:val="00C7612B"/>
    <w:rPr>
      <w:b/>
      <w:bCs/>
    </w:rPr>
  </w:style>
  <w:style w:type="character" w:customStyle="1" w:styleId="CommentSubjectChar">
    <w:name w:val="Comment Subject Char"/>
    <w:basedOn w:val="CommentTextChar"/>
    <w:link w:val="CommentSubject"/>
    <w:uiPriority w:val="99"/>
    <w:semiHidden/>
    <w:rsid w:val="00C7612B"/>
    <w:rPr>
      <w:b/>
      <w:bCs/>
      <w:sz w:val="20"/>
      <w:szCs w:val="20"/>
    </w:rPr>
  </w:style>
  <w:style w:type="character" w:styleId="FollowedHyperlink">
    <w:name w:val="FollowedHyperlink"/>
    <w:basedOn w:val="DefaultParagraphFont"/>
    <w:uiPriority w:val="99"/>
    <w:semiHidden/>
    <w:unhideWhenUsed/>
    <w:rsid w:val="005C655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5" w:type="dxa"/>
        <w:bottom w:w="85" w:type="dxa"/>
      </w:tblCellMar>
    </w:tblPr>
    <w:tblStylePr w:type="firstRow">
      <w:rPr>
        <w:rFonts w:ascii="Arial" w:eastAsia="Arial" w:hAnsi="Arial" w:cs="Arial"/>
        <w:b w:val="0"/>
        <w:sz w:val="24"/>
        <w:szCs w:val="24"/>
      </w:rPr>
      <w:tblPr/>
      <w:tcPr>
        <w:tcBorders>
          <w:top w:val="single" w:sz="12" w:space="0" w:color="000000"/>
          <w:left w:val="nil"/>
          <w:bottom w:val="single" w:sz="12" w:space="0" w:color="000000"/>
          <w:right w:val="nil"/>
          <w:insideV w:val="nil"/>
        </w:tcBorders>
      </w:tcPr>
    </w:tblStylePr>
    <w:tblStylePr w:type="lastRow">
      <w:tblPr/>
      <w:tcPr>
        <w:tcBorders>
          <w:bottom w:val="single" w:sz="12" w:space="0" w:color="000000"/>
        </w:tcBorders>
      </w:tcPr>
    </w:tblStylePr>
  </w:style>
  <w:style w:type="table" w:customStyle="1" w:styleId="a0">
    <w:basedOn w:val="TableNormal"/>
    <w:pPr>
      <w:spacing w:after="0" w:line="240" w:lineRule="auto"/>
    </w:pPr>
    <w:tblPr>
      <w:tblStyleRowBandSize w:val="1"/>
      <w:tblStyleColBandSize w:val="1"/>
      <w:tblCellMar>
        <w:top w:w="85" w:type="dxa"/>
        <w:bottom w:w="85" w:type="dxa"/>
      </w:tblCellMar>
    </w:tblPr>
  </w:style>
  <w:style w:type="table" w:customStyle="1" w:styleId="a1">
    <w:basedOn w:val="TableNormal"/>
    <w:pPr>
      <w:spacing w:after="0" w:line="240" w:lineRule="auto"/>
    </w:pPr>
    <w:tblPr>
      <w:tblStyleRowBandSize w:val="1"/>
      <w:tblStyleColBandSize w:val="1"/>
      <w:tblCellMar>
        <w:top w:w="85" w:type="dxa"/>
        <w:bottom w:w="85" w:type="dxa"/>
      </w:tblCellMar>
    </w:tblPr>
  </w:style>
  <w:style w:type="table" w:customStyle="1" w:styleId="a2">
    <w:basedOn w:val="TableNormal"/>
    <w:pPr>
      <w:spacing w:after="0" w:line="240" w:lineRule="auto"/>
    </w:pPr>
    <w:tblPr>
      <w:tblStyleRowBandSize w:val="1"/>
      <w:tblStyleColBandSize w:val="1"/>
      <w:tblCellMar>
        <w:top w:w="85" w:type="dxa"/>
        <w:bottom w:w="85" w:type="dxa"/>
      </w:tblCellMar>
    </w:tblPr>
  </w:style>
  <w:style w:type="table" w:customStyle="1" w:styleId="a3">
    <w:basedOn w:val="TableNormal"/>
    <w:pPr>
      <w:spacing w:after="0" w:line="240" w:lineRule="auto"/>
    </w:pPr>
    <w:tblPr>
      <w:tblStyleRowBandSize w:val="1"/>
      <w:tblStyleColBandSize w:val="1"/>
      <w:tblCellMar>
        <w:top w:w="85" w:type="dxa"/>
        <w:bottom w:w="85" w:type="dxa"/>
      </w:tblCellMar>
    </w:tblPr>
  </w:style>
  <w:style w:type="table" w:customStyle="1" w:styleId="a4">
    <w:basedOn w:val="TableNormal"/>
    <w:pPr>
      <w:spacing w:after="0" w:line="240" w:lineRule="auto"/>
    </w:pPr>
    <w:tblPr>
      <w:tblStyleRowBandSize w:val="1"/>
      <w:tblStyleColBandSize w:val="1"/>
      <w:tblCellMar>
        <w:top w:w="85" w:type="dxa"/>
        <w:bottom w:w="85" w:type="dxa"/>
      </w:tblCellMar>
    </w:tblPr>
  </w:style>
  <w:style w:type="table" w:customStyle="1" w:styleId="a5">
    <w:basedOn w:val="TableNormal"/>
    <w:pPr>
      <w:spacing w:after="0" w:line="240" w:lineRule="auto"/>
    </w:pPr>
    <w:tblPr>
      <w:tblStyleRowBandSize w:val="1"/>
      <w:tblStyleColBandSize w:val="1"/>
      <w:tblCellMar>
        <w:top w:w="85" w:type="dxa"/>
        <w:bottom w:w="85" w:type="dxa"/>
      </w:tblCellMar>
    </w:tblPr>
  </w:style>
  <w:style w:type="table" w:customStyle="1" w:styleId="a6">
    <w:basedOn w:val="TableNormal"/>
    <w:pPr>
      <w:spacing w:after="0" w:line="240" w:lineRule="auto"/>
    </w:pPr>
    <w:tblPr>
      <w:tblStyleRowBandSize w:val="1"/>
      <w:tblStyleColBandSize w:val="1"/>
      <w:tblCellMar>
        <w:top w:w="85" w:type="dxa"/>
        <w:bottom w:w="85" w:type="dxa"/>
      </w:tblCellMar>
    </w:tblPr>
  </w:style>
  <w:style w:type="table" w:customStyle="1" w:styleId="a7">
    <w:basedOn w:val="TableNormal"/>
    <w:pPr>
      <w:spacing w:after="0" w:line="240" w:lineRule="auto"/>
    </w:pPr>
    <w:tblPr>
      <w:tblStyleRowBandSize w:val="1"/>
      <w:tblStyleColBandSize w:val="1"/>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7887">
      <w:bodyDiv w:val="1"/>
      <w:marLeft w:val="0"/>
      <w:marRight w:val="0"/>
      <w:marTop w:val="0"/>
      <w:marBottom w:val="0"/>
      <w:divBdr>
        <w:top w:val="none" w:sz="0" w:space="0" w:color="auto"/>
        <w:left w:val="none" w:sz="0" w:space="0" w:color="auto"/>
        <w:bottom w:val="none" w:sz="0" w:space="0" w:color="auto"/>
        <w:right w:val="none" w:sz="0" w:space="0" w:color="auto"/>
      </w:divBdr>
    </w:div>
    <w:div w:id="823089260">
      <w:bodyDiv w:val="1"/>
      <w:marLeft w:val="0"/>
      <w:marRight w:val="0"/>
      <w:marTop w:val="0"/>
      <w:marBottom w:val="0"/>
      <w:divBdr>
        <w:top w:val="none" w:sz="0" w:space="0" w:color="auto"/>
        <w:left w:val="none" w:sz="0" w:space="0" w:color="auto"/>
        <w:bottom w:val="none" w:sz="0" w:space="0" w:color="auto"/>
        <w:right w:val="none" w:sz="0" w:space="0" w:color="auto"/>
      </w:divBdr>
    </w:div>
    <w:div w:id="212110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hyperlink" Target="https://gdpr-info.eu/art-19-gdpr/" TargetMode="External"/><Relationship Id="rId18" Type="http://schemas.openxmlformats.org/officeDocument/2006/relationships/hyperlink" Target="https://gdpr-info.eu/art-33-gdp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s://gdpr-info.eu/art-6-gdpr/" TargetMode="External"/><Relationship Id="rId12" Type="http://schemas.openxmlformats.org/officeDocument/2006/relationships/hyperlink" Target="https://gdpr-info.eu/art-15-gdpr/" TargetMode="External"/><Relationship Id="rId17" Type="http://schemas.openxmlformats.org/officeDocument/2006/relationships/hyperlink" Target="mailto:subjectaccess@sheffield.gov.uk" TargetMode="External"/><Relationship Id="rId2" Type="http://schemas.openxmlformats.org/officeDocument/2006/relationships/customXml" Target="../customXml/item2.xml"/><Relationship Id="rId16" Type="http://schemas.openxmlformats.org/officeDocument/2006/relationships/hyperlink" Target="https://gdpr-info.eu/art-18-gdpr/" TargetMode="External"/><Relationship Id="rId20" Type="http://schemas.openxmlformats.org/officeDocument/2006/relationships/hyperlink" Target="mailto:informationmanagement@sheffiel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dpr-info.eu/art-14-gdpr/" TargetMode="External"/><Relationship Id="rId5" Type="http://schemas.openxmlformats.org/officeDocument/2006/relationships/settings" Target="settings.xml"/><Relationship Id="rId15" Type="http://schemas.openxmlformats.org/officeDocument/2006/relationships/hyperlink" Target="https://gdpr-info.eu/art-17-gdpr/" TargetMode="External"/><Relationship Id="rId10" Type="http://schemas.openxmlformats.org/officeDocument/2006/relationships/hyperlink" Target="https://gdpr-info.eu/art-13-gdpr/" TargetMode="External"/><Relationship Id="rId19" Type="http://schemas.openxmlformats.org/officeDocument/2006/relationships/hyperlink" Target="https://gdpr-info.eu/art-34-gdpr/" TargetMode="External"/><Relationship Id="rId4" Type="http://schemas.openxmlformats.org/officeDocument/2006/relationships/styles" Target="styles.xml"/><Relationship Id="rId9" Type="http://schemas.openxmlformats.org/officeDocument/2006/relationships/hyperlink" Target="https://gdpr-info.eu/art-9-gdpr/" TargetMode="External"/><Relationship Id="rId14" Type="http://schemas.openxmlformats.org/officeDocument/2006/relationships/hyperlink" Target="https://gdpr-info.eu/art-16-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gjEWVzXwVatsTbvZNArV7Zfhvg==">AMUW2mVt9RCXlr9QUppjaxr+BphFk/74hoQFUm+kyGZMR+oYaFMM6E2vVl/YjV9QArGMjoLJudFJhP2+VJIMyL7zL/04WAhmxUcoha0IKY2RgAdwVnq5Tay4dUPyt0tyeePWCqsEymT+3xHMbt0PRzhpLZ4n7lXIu1UNiwHh8IHZBLdK/YKX01EZJYDwa2e0pWiBlA5+X6sHSNwdjJqgTTIdkQnjSAYkbp73pgnyUIUvP/W4VYJ2siwnLywJ/nR6ppd9tzEPcjnvgRlOhJhqXfbB8J/k/HXRUxz+0eWEpIuzN3YKIu1GBY2+40w/UnK5RXlGfdWwteGGVocml9HplX6aeygjgme5rZ3uCypTjczoWerb649LAuuvFZWrsdxbtD54q6ddoTxBhmgd0mWIJkPCvN4F9WhDHGQC6WB+G2xrOrYAOUfCjQfzivPG9a7ztKc7nrBvFk8e71L+wJMIoR+ws91/4jpqfjZRGVYN8qDOcD8FWHQyXFDCMag+J19iK+DWOI1IqjaLxh3ulRAExcqiFf6nK2FaAar8ZEhPW4Fd9PiUyAuJxjbvvjmtTgV8I2IUlrlzl2D+7327X9oaz0kztbM1bXO6YLZAiOZnrCz/+W6adM2g+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911E81-22A6-46BE-AB54-8A46EA81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Joelle  (CEX)</dc:creator>
  <cp:lastModifiedBy>Olivia Needham</cp:lastModifiedBy>
  <cp:revision>2</cp:revision>
  <dcterms:created xsi:type="dcterms:W3CDTF">2023-07-19T15:12:00Z</dcterms:created>
  <dcterms:modified xsi:type="dcterms:W3CDTF">2023-07-19T15:12:00Z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0x0101005E4BB1DB8FC5F141B26B1B41F7B02717</vt:lpwstr>
  </property>
  <property fmtid="{D5CDD505-2E9C-101B-9397-08002B2CF9AE}" pid="3" name="MSIP_Label_3bb89573-64a6-49dd-b38d-4c7c2bcb20ca_Enabled">
    <vt:lpwstr>true</vt:lpwstr>
  </property>
  <property fmtid="{D5CDD505-2E9C-101B-9397-08002B2CF9AE}" pid="4" name="MSIP_Label_3bb89573-64a6-49dd-b38d-4c7c2bcb20ca_SetDate">
    <vt:lpwstr>2022-01-28T15:37:21Z</vt:lpwstr>
  </property>
  <property fmtid="{D5CDD505-2E9C-101B-9397-08002B2CF9AE}" pid="5" name="MSIP_Label_3bb89573-64a6-49dd-b38d-4c7c2bcb20ca_Method">
    <vt:lpwstr>Privileged</vt:lpwstr>
  </property>
  <property fmtid="{D5CDD505-2E9C-101B-9397-08002B2CF9AE}" pid="6" name="MSIP_Label_3bb89573-64a6-49dd-b38d-4c7c2bcb20ca_Name">
    <vt:lpwstr>Official – Sensitive</vt:lpwstr>
  </property>
  <property fmtid="{D5CDD505-2E9C-101B-9397-08002B2CF9AE}" pid="7" name="MSIP_Label_3bb89573-64a6-49dd-b38d-4c7c2bcb20ca_SiteId">
    <vt:lpwstr>a1ba59b9-7204-48d8-a360-7770245ad4a9</vt:lpwstr>
  </property>
  <property fmtid="{D5CDD505-2E9C-101B-9397-08002B2CF9AE}" pid="8" name="MSIP_Label_3bb89573-64a6-49dd-b38d-4c7c2bcb20ca_ActionId">
    <vt:lpwstr>be37cc52-b1d7-4cfe-a769-9bf393bc2fb0</vt:lpwstr>
  </property>
  <property fmtid="{D5CDD505-2E9C-101B-9397-08002B2CF9AE}" pid="9" name="MSIP_Label_3bb89573-64a6-49dd-b38d-4c7c2bcb20ca_ContentBits">
    <vt:lpwstr>0</vt:lpwstr>
  </property>
</Properties>
</file>